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48F33BC1" w:rsidR="004C5767" w:rsidRPr="008859E1" w:rsidRDefault="004C5767" w:rsidP="00D27533">
      <w:pPr>
        <w:pStyle w:val="tbody"/>
        <w:rPr>
          <w:b w:val="0"/>
          <w:bCs/>
        </w:rPr>
      </w:pPr>
      <w:r w:rsidRPr="00C02553">
        <w:t>Drug/Drug Class:</w:t>
      </w:r>
      <w:r w:rsidR="003B4820" w:rsidRPr="00573856">
        <w:rPr>
          <w:b w:val="0"/>
          <w:bCs/>
        </w:rPr>
        <w:t xml:space="preserve"> </w:t>
      </w:r>
      <w:r w:rsidR="00861512">
        <w:rPr>
          <w:b w:val="0"/>
          <w:bCs/>
        </w:rPr>
        <w:t>Vitamin D Analogs</w:t>
      </w:r>
      <w:r w:rsidR="002F6F10">
        <w:rPr>
          <w:b w:val="0"/>
          <w:bCs/>
        </w:rPr>
        <w:t>, Topical</w:t>
      </w:r>
      <w:r w:rsidR="00861512">
        <w:rPr>
          <w:b w:val="0"/>
          <w:bCs/>
        </w:rPr>
        <w:t xml:space="preserve"> PDL Edit</w:t>
      </w:r>
      <w:r w:rsidR="002F6F10">
        <w:rPr>
          <w:b w:val="0"/>
          <w:bCs/>
        </w:rPr>
        <w:t xml:space="preserve"> </w:t>
      </w:r>
      <w:r w:rsidR="002F6F10" w:rsidRPr="002F6F10">
        <w:rPr>
          <w:b w:val="0"/>
          <w:bCs/>
          <w:i/>
          <w:iCs/>
        </w:rPr>
        <w:t>(formerly Psoriasis Agents, Topical PDL Edit)</w:t>
      </w:r>
    </w:p>
    <w:p w14:paraId="7AD7FFCE" w14:textId="076B09EB" w:rsidR="004C5767" w:rsidRPr="00C02553" w:rsidRDefault="004C5767" w:rsidP="00D27533">
      <w:pPr>
        <w:pStyle w:val="tbody"/>
      </w:pPr>
      <w:r w:rsidRPr="00C02553">
        <w:t>First Implementation Date:</w:t>
      </w:r>
      <w:r w:rsidRPr="00573856">
        <w:rPr>
          <w:b w:val="0"/>
          <w:bCs/>
        </w:rPr>
        <w:t xml:space="preserve"> </w:t>
      </w:r>
      <w:r w:rsidR="002F6F10">
        <w:rPr>
          <w:b w:val="0"/>
          <w:bCs/>
        </w:rPr>
        <w:t>TBD</w:t>
      </w:r>
    </w:p>
    <w:p w14:paraId="4B7D760D" w14:textId="42DE2784" w:rsidR="004C5767" w:rsidRPr="00057F84" w:rsidRDefault="00F41F69" w:rsidP="70E341D6">
      <w:pPr>
        <w:pStyle w:val="tbody"/>
        <w:rPr>
          <w:b w:val="0"/>
        </w:rPr>
      </w:pPr>
      <w:r>
        <w:t>Pro</w:t>
      </w:r>
      <w:r w:rsidR="00FA2CFB">
        <w:t>posed</w:t>
      </w:r>
      <w:r w:rsidR="004C5767">
        <w:t xml:space="preserve"> Date:</w:t>
      </w:r>
      <w:r w:rsidR="00065C22">
        <w:t xml:space="preserve"> </w:t>
      </w:r>
      <w:r w:rsidR="00B04A72">
        <w:rPr>
          <w:b w:val="0"/>
          <w:bCs/>
        </w:rPr>
        <w:t>July</w:t>
      </w:r>
      <w:r w:rsidR="00BD4DC4" w:rsidRPr="00BD4DC4">
        <w:rPr>
          <w:b w:val="0"/>
          <w:bCs/>
        </w:rPr>
        <w:t xml:space="preserve">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A57BE8B" w:rsidR="004C5767" w:rsidRPr="00D27533" w:rsidRDefault="004C5767" w:rsidP="00D27533">
      <w:pPr>
        <w:pStyle w:val="tbody"/>
        <w:rPr>
          <w:b w:val="0"/>
          <w:bCs/>
          <w:spacing w:val="-3"/>
        </w:rPr>
      </w:pPr>
      <w:r w:rsidRPr="00C02553">
        <w:t xml:space="preserve">Criteria Status: </w:t>
      </w:r>
      <w:r w:rsidR="00566BE4" w:rsidRPr="00447FD9">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273F217" w14:textId="46FF83D5" w:rsidR="00E0095A" w:rsidRPr="0036118B" w:rsidRDefault="00A04204" w:rsidP="00A04204">
      <w:pPr>
        <w:pStyle w:val="Header"/>
        <w:tabs>
          <w:tab w:val="clear" w:pos="4320"/>
          <w:tab w:val="clear" w:pos="8640"/>
        </w:tabs>
        <w:rPr>
          <w:rFonts w:cs="Arial"/>
          <w:spacing w:val="-3"/>
          <w:sz w:val="20"/>
        </w:rPr>
      </w:pPr>
      <w:r w:rsidRPr="00EC6EA0">
        <w:rPr>
          <w:rFonts w:cs="Arial"/>
          <w:spacing w:val="-3"/>
          <w:sz w:val="20"/>
        </w:rPr>
        <w:t>Psoriasis is a chronic, inflammatory, non-contagious, genetic, immune-mediated, dermatologic condition. Plaque psoriasis is the most common form of psoriasis, affecting 80 to 90% of psoriasis patients.  The plaques present as raised, inflamed, scaly patches of skin that may also be itchy and painful.  Plaques can be present anywhere on the body, but most often occur on the scalp, knees, elbows, and torso. Psoriasis affects approximately 7.5 million Americans; presentation can occur at any age but typically occurs between the ages of 15 to 25 years. Psoriasis can range from mild to severe disease and can lead to low self-esteem and depression. During the disease process there is hyperproliferation and abnormal differentiation of the psoriatic epidermis. Mild plaque psoriasis can often be managed with topical therapies, while moderate to severe disease may require phototherapy or systemic management.  Moderate to severe disease is typically defined as 5 to 10% of body surface area involvement; involvement of the face, palm, or sole; or disease that is otherwise disabling.</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7320590" w14:textId="597F74DF" w:rsidR="00FD34EA" w:rsidRPr="007756DD" w:rsidRDefault="006E02DA" w:rsidP="006E02DA">
      <w:pPr>
        <w:pStyle w:val="ListParagraph"/>
        <w:numPr>
          <w:ilvl w:val="0"/>
          <w:numId w:val="15"/>
        </w:numPr>
        <w:rPr>
          <w:rFonts w:cs="Arial"/>
          <w:szCs w:val="20"/>
        </w:rPr>
      </w:pPr>
      <w:r w:rsidRPr="007756DD">
        <w:rPr>
          <w:rFonts w:cs="Arial"/>
          <w:spacing w:val="-3"/>
        </w:rPr>
        <w:t>Calcipotriene Crm/Oint/Soln</w:t>
      </w:r>
    </w:p>
    <w:p w14:paraId="35E4654D" w14:textId="77777777" w:rsidR="006E02DA" w:rsidRDefault="006E02DA" w:rsidP="00846FA4">
      <w:pPr>
        <w:rPr>
          <w:b/>
          <w:bCs/>
        </w:rPr>
      </w:pPr>
    </w:p>
    <w:p w14:paraId="56404718" w14:textId="3468DC9E" w:rsidR="00846FA4" w:rsidRDefault="00846FA4" w:rsidP="00846FA4">
      <w:pPr>
        <w:rPr>
          <w:b/>
          <w:bCs/>
        </w:rPr>
      </w:pPr>
      <w:r>
        <w:rPr>
          <w:b/>
          <w:bCs/>
        </w:rPr>
        <w:t>Non-Preferred Agents:</w:t>
      </w:r>
    </w:p>
    <w:p w14:paraId="0A6B94D1" w14:textId="77777777" w:rsidR="00E565FF" w:rsidRPr="007756DD" w:rsidRDefault="00E565FF" w:rsidP="00E565FF">
      <w:pPr>
        <w:numPr>
          <w:ilvl w:val="0"/>
          <w:numId w:val="16"/>
        </w:numPr>
        <w:rPr>
          <w:rFonts w:cs="Arial"/>
          <w:spacing w:val="-3"/>
          <w:szCs w:val="20"/>
        </w:rPr>
      </w:pPr>
      <w:r w:rsidRPr="007756DD">
        <w:rPr>
          <w:rFonts w:cs="Arial"/>
          <w:spacing w:val="-3"/>
          <w:szCs w:val="20"/>
        </w:rPr>
        <w:t>Calcipotriene Foam</w:t>
      </w:r>
    </w:p>
    <w:p w14:paraId="5C38CB80" w14:textId="77777777" w:rsidR="00E565FF" w:rsidRPr="007756DD" w:rsidRDefault="00E565FF" w:rsidP="00E565FF">
      <w:pPr>
        <w:numPr>
          <w:ilvl w:val="0"/>
          <w:numId w:val="16"/>
        </w:numPr>
        <w:ind w:right="-288"/>
        <w:rPr>
          <w:rFonts w:cs="Arial"/>
          <w:spacing w:val="-3"/>
          <w:szCs w:val="20"/>
        </w:rPr>
      </w:pPr>
      <w:r w:rsidRPr="007756DD">
        <w:rPr>
          <w:rFonts w:cs="Arial"/>
          <w:spacing w:val="-3"/>
          <w:szCs w:val="20"/>
        </w:rPr>
        <w:t xml:space="preserve">Calcipotriene/Betamethasone </w:t>
      </w:r>
    </w:p>
    <w:p w14:paraId="09E3C279" w14:textId="77777777" w:rsidR="00E565FF" w:rsidRPr="007756DD" w:rsidRDefault="00E565FF" w:rsidP="00E565FF">
      <w:pPr>
        <w:numPr>
          <w:ilvl w:val="0"/>
          <w:numId w:val="16"/>
        </w:numPr>
        <w:rPr>
          <w:rFonts w:cs="Arial"/>
          <w:spacing w:val="-3"/>
          <w:szCs w:val="20"/>
        </w:rPr>
      </w:pPr>
      <w:r w:rsidRPr="007756DD">
        <w:rPr>
          <w:rFonts w:cs="Arial"/>
          <w:spacing w:val="-3"/>
          <w:szCs w:val="20"/>
        </w:rPr>
        <w:t>Calcitriol</w:t>
      </w:r>
    </w:p>
    <w:p w14:paraId="71C5A494" w14:textId="77777777" w:rsidR="00DC79E7" w:rsidRPr="00C5502D" w:rsidRDefault="00DC79E7" w:rsidP="00DC79E7">
      <w:pPr>
        <w:numPr>
          <w:ilvl w:val="0"/>
          <w:numId w:val="16"/>
        </w:numPr>
        <w:rPr>
          <w:rFonts w:cs="Arial"/>
          <w:spacing w:val="-3"/>
          <w:szCs w:val="20"/>
        </w:rPr>
      </w:pPr>
      <w:r w:rsidRPr="007756DD">
        <w:rPr>
          <w:rFonts w:cs="Arial"/>
          <w:spacing w:val="-3"/>
          <w:szCs w:val="20"/>
        </w:rPr>
        <w:t>Enstilar</w:t>
      </w:r>
      <w:r w:rsidRPr="007756DD">
        <w:rPr>
          <w:rFonts w:cs="Arial"/>
          <w:spacing w:val="-3"/>
          <w:szCs w:val="20"/>
          <w:vertAlign w:val="superscript"/>
        </w:rPr>
        <w:sym w:font="Symbol" w:char="F0E2"/>
      </w:r>
    </w:p>
    <w:p w14:paraId="60E303A3" w14:textId="6A12B10B" w:rsidR="00C5502D" w:rsidRPr="00C5502D" w:rsidRDefault="00C5502D" w:rsidP="00C5502D">
      <w:pPr>
        <w:numPr>
          <w:ilvl w:val="0"/>
          <w:numId w:val="16"/>
        </w:numPr>
        <w:rPr>
          <w:rFonts w:cs="Arial"/>
          <w:spacing w:val="-3"/>
          <w:szCs w:val="20"/>
        </w:rPr>
      </w:pPr>
      <w:r w:rsidRPr="00C5502D">
        <w:rPr>
          <w:rFonts w:cs="Arial"/>
          <w:spacing w:val="-3"/>
          <w:szCs w:val="20"/>
        </w:rPr>
        <w:t>Sorilux</w:t>
      </w:r>
      <w:r w:rsidRPr="00C5502D">
        <w:rPr>
          <w:rFonts w:cs="Arial"/>
          <w:spacing w:val="-3"/>
          <w:szCs w:val="20"/>
          <w:vertAlign w:val="superscript"/>
        </w:rPr>
        <w:sym w:font="Symbol" w:char="F0E2"/>
      </w:r>
      <w:r w:rsidRPr="00C5502D">
        <w:rPr>
          <w:rFonts w:cs="Arial"/>
          <w:spacing w:val="-3"/>
          <w:szCs w:val="20"/>
        </w:rPr>
        <w:t xml:space="preserve"> </w:t>
      </w:r>
    </w:p>
    <w:p w14:paraId="318BCA4E" w14:textId="77777777" w:rsidR="007756DD" w:rsidRPr="007756DD" w:rsidRDefault="007756DD" w:rsidP="007756DD">
      <w:pPr>
        <w:numPr>
          <w:ilvl w:val="0"/>
          <w:numId w:val="16"/>
        </w:numPr>
        <w:rPr>
          <w:rFonts w:cs="Arial"/>
          <w:spacing w:val="-3"/>
          <w:szCs w:val="20"/>
        </w:rPr>
      </w:pPr>
      <w:r w:rsidRPr="007756DD">
        <w:rPr>
          <w:rFonts w:cs="Arial"/>
          <w:spacing w:val="-3"/>
          <w:szCs w:val="20"/>
        </w:rPr>
        <w:t>Taclonex</w:t>
      </w:r>
      <w:r w:rsidRPr="007756DD">
        <w:rPr>
          <w:rFonts w:cs="Arial"/>
          <w:spacing w:val="-3"/>
          <w:szCs w:val="20"/>
          <w:vertAlign w:val="superscript"/>
        </w:rPr>
        <w:sym w:font="Symbol" w:char="F0E2"/>
      </w:r>
      <w:r w:rsidRPr="007756DD">
        <w:rPr>
          <w:rFonts w:cs="Arial"/>
          <w:spacing w:val="-3"/>
          <w:szCs w:val="20"/>
        </w:rPr>
        <w:t xml:space="preserve"> </w:t>
      </w:r>
    </w:p>
    <w:p w14:paraId="5ADCD159" w14:textId="77777777" w:rsidR="007756DD" w:rsidRPr="007756DD" w:rsidRDefault="007756DD" w:rsidP="007756DD">
      <w:pPr>
        <w:numPr>
          <w:ilvl w:val="0"/>
          <w:numId w:val="16"/>
        </w:numPr>
        <w:rPr>
          <w:rFonts w:cs="Arial"/>
          <w:spacing w:val="-3"/>
          <w:szCs w:val="20"/>
        </w:rPr>
      </w:pPr>
      <w:r w:rsidRPr="007756DD">
        <w:rPr>
          <w:rFonts w:cs="Arial"/>
          <w:spacing w:val="-3"/>
          <w:szCs w:val="20"/>
        </w:rPr>
        <w:t>Vectical</w:t>
      </w:r>
      <w:r w:rsidRPr="007756DD">
        <w:rPr>
          <w:rFonts w:cs="Arial"/>
          <w:spacing w:val="-3"/>
          <w:szCs w:val="20"/>
          <w:vertAlign w:val="superscript"/>
        </w:rPr>
        <w:sym w:font="Symbol" w:char="F0E2"/>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08904FD" w:rsidR="0097028A" w:rsidRPr="0079438F" w:rsidRDefault="0097028A" w:rsidP="00696E3A">
      <w:pPr>
        <w:rPr>
          <w:b/>
        </w:rPr>
      </w:pPr>
      <w:r w:rsidRPr="00696E3A">
        <w:rPr>
          <w:b/>
          <w:bCs/>
        </w:rPr>
        <w:t>Drug class for review:</w:t>
      </w:r>
      <w:r w:rsidRPr="00C02553">
        <w:t xml:space="preserve"> </w:t>
      </w:r>
      <w:r w:rsidR="00B173CD" w:rsidRPr="00DF5AB6">
        <w:t>Vitamin D Analogs, Topical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Default="005328B2" w:rsidP="005328B2">
      <w:pPr>
        <w:rPr>
          <w:rFonts w:cs="Arial"/>
          <w:szCs w:val="20"/>
        </w:rPr>
      </w:pPr>
    </w:p>
    <w:p w14:paraId="02F14B4A" w14:textId="77777777" w:rsidR="00736A52" w:rsidRDefault="00736A52" w:rsidP="005328B2">
      <w:pPr>
        <w:rPr>
          <w:rFonts w:cs="Arial"/>
          <w:szCs w:val="20"/>
        </w:rPr>
      </w:pPr>
    </w:p>
    <w:p w14:paraId="653D0CB2" w14:textId="77777777" w:rsidR="00736A52" w:rsidRDefault="00736A52" w:rsidP="005328B2">
      <w:pPr>
        <w:rPr>
          <w:rFonts w:cs="Arial"/>
          <w:szCs w:val="20"/>
        </w:rPr>
      </w:pPr>
    </w:p>
    <w:p w14:paraId="5BE7A0FA" w14:textId="77777777" w:rsidR="00736A52" w:rsidRPr="002C2C41" w:rsidRDefault="00736A5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lastRenderedPageBreak/>
        <w:t>Approval Criteria</w:t>
      </w:r>
    </w:p>
    <w:p w14:paraId="4BAA1D7A" w14:textId="77777777" w:rsidR="00635DDB" w:rsidRPr="00696E3A" w:rsidRDefault="00635DDB" w:rsidP="00635DDB">
      <w:pPr>
        <w:rPr>
          <w:b/>
          <w:bCs/>
        </w:rPr>
      </w:pPr>
      <w:r w:rsidRPr="00696E3A">
        <w:rPr>
          <w:b/>
          <w:bCs/>
        </w:rPr>
        <w:t>Initial Therapy:</w:t>
      </w:r>
    </w:p>
    <w:p w14:paraId="28D5039B" w14:textId="77777777" w:rsidR="00133FAA" w:rsidRPr="00D92227" w:rsidRDefault="00133FAA" w:rsidP="00133FAA">
      <w:pPr>
        <w:numPr>
          <w:ilvl w:val="0"/>
          <w:numId w:val="17"/>
        </w:numPr>
        <w:rPr>
          <w:rFonts w:cs="Arial"/>
          <w:b/>
          <w:bCs/>
          <w:strike/>
          <w:color w:val="1F497D" w:themeColor="text2"/>
          <w:szCs w:val="20"/>
        </w:rPr>
      </w:pPr>
      <w:r w:rsidRPr="00D92227">
        <w:rPr>
          <w:rFonts w:cs="Arial"/>
          <w:b/>
          <w:bCs/>
          <w:strike/>
          <w:color w:val="1F497D" w:themeColor="text2"/>
          <w:szCs w:val="20"/>
        </w:rPr>
        <w:t>Must meet one of the following:</w:t>
      </w:r>
    </w:p>
    <w:p w14:paraId="0EF82335" w14:textId="77777777" w:rsidR="00133FAA" w:rsidRPr="00D92227" w:rsidRDefault="00133FAA" w:rsidP="00133FAA">
      <w:pPr>
        <w:numPr>
          <w:ilvl w:val="1"/>
          <w:numId w:val="17"/>
        </w:numPr>
        <w:rPr>
          <w:rFonts w:cs="Arial"/>
          <w:b/>
          <w:bCs/>
          <w:strike/>
          <w:color w:val="1F497D" w:themeColor="text2"/>
          <w:szCs w:val="20"/>
        </w:rPr>
      </w:pPr>
      <w:r w:rsidRPr="00D92227">
        <w:rPr>
          <w:rFonts w:cs="Arial"/>
          <w:b/>
          <w:bCs/>
          <w:strike/>
          <w:color w:val="1F497D" w:themeColor="text2"/>
          <w:szCs w:val="20"/>
        </w:rPr>
        <w:t xml:space="preserve">Claim is for Zoryve Foam for seborrheic dermatitis – must meet </w:t>
      </w:r>
      <w:proofErr w:type="gramStart"/>
      <w:r w:rsidRPr="00D92227">
        <w:rPr>
          <w:rFonts w:cs="Arial"/>
          <w:b/>
          <w:bCs/>
          <w:strike/>
          <w:color w:val="1F497D" w:themeColor="text2"/>
          <w:szCs w:val="20"/>
        </w:rPr>
        <w:t>all of</w:t>
      </w:r>
      <w:proofErr w:type="gramEnd"/>
      <w:r w:rsidRPr="00D92227">
        <w:rPr>
          <w:rFonts w:cs="Arial"/>
          <w:b/>
          <w:bCs/>
          <w:strike/>
          <w:color w:val="1F497D" w:themeColor="text2"/>
          <w:szCs w:val="20"/>
        </w:rPr>
        <w:t xml:space="preserve"> the following:</w:t>
      </w:r>
    </w:p>
    <w:p w14:paraId="606B702F"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Participant is aged ≥ 9 years;</w:t>
      </w:r>
    </w:p>
    <w:p w14:paraId="14BBA34D"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Documented diagnosis of seborrheic dermatitis; AND</w:t>
      </w:r>
    </w:p>
    <w:p w14:paraId="7D748DD8"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Documented trial of concomitant use of 1 topical antifungal and 1 topical corticosteroid. </w:t>
      </w:r>
    </w:p>
    <w:p w14:paraId="7B72A59B" w14:textId="77777777" w:rsidR="00133FAA" w:rsidRPr="00D92227" w:rsidRDefault="00133FAA" w:rsidP="00133FAA">
      <w:pPr>
        <w:numPr>
          <w:ilvl w:val="1"/>
          <w:numId w:val="17"/>
        </w:numPr>
        <w:rPr>
          <w:rFonts w:cs="Arial"/>
          <w:b/>
          <w:bCs/>
          <w:strike/>
          <w:color w:val="1F497D" w:themeColor="text2"/>
          <w:szCs w:val="20"/>
        </w:rPr>
      </w:pPr>
      <w:r w:rsidRPr="00D92227">
        <w:rPr>
          <w:rFonts w:cs="Arial"/>
          <w:b/>
          <w:bCs/>
          <w:strike/>
          <w:color w:val="1F497D" w:themeColor="text2"/>
          <w:szCs w:val="20"/>
        </w:rPr>
        <w:t>Claim is for Vtama for atopic dermatitis:</w:t>
      </w:r>
    </w:p>
    <w:p w14:paraId="78481B2C"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Must meet </w:t>
      </w:r>
      <w:proofErr w:type="gramStart"/>
      <w:r w:rsidRPr="00D92227">
        <w:rPr>
          <w:rFonts w:cs="Arial"/>
          <w:b/>
          <w:bCs/>
          <w:strike/>
          <w:color w:val="1F497D" w:themeColor="text2"/>
          <w:szCs w:val="20"/>
        </w:rPr>
        <w:t>all of</w:t>
      </w:r>
      <w:proofErr w:type="gramEnd"/>
      <w:r w:rsidRPr="00D92227">
        <w:rPr>
          <w:rFonts w:cs="Arial"/>
          <w:b/>
          <w:bCs/>
          <w:strike/>
          <w:color w:val="1F497D" w:themeColor="text2"/>
          <w:szCs w:val="20"/>
        </w:rPr>
        <w:t xml:space="preserve"> the following:</w:t>
      </w:r>
    </w:p>
    <w:p w14:paraId="01476E89"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 xml:space="preserve">Participant is aged ≥ 2 years; </w:t>
      </w:r>
    </w:p>
    <w:p w14:paraId="2C682183"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 xml:space="preserve">Prescribed by or in consultation with an immunologist, allergist, or dermatologist; </w:t>
      </w:r>
    </w:p>
    <w:p w14:paraId="31DA6AB8"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Documented diagnosis of atopic dermatitis; AND</w:t>
      </w:r>
    </w:p>
    <w:p w14:paraId="233CE8CE"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Documented therapeutic trial of pimecrolimus or topical tacrolimus in the past 6 months; AND</w:t>
      </w:r>
    </w:p>
    <w:p w14:paraId="72BBDB65"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For participants aged ≥ 12 years only: Documented therapeutic trial of Opzelura.</w:t>
      </w:r>
    </w:p>
    <w:p w14:paraId="2BDCAEDC"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Criteria for topical pimecrolimus, tacrolimus, and Opzelura are listed in the </w:t>
      </w:r>
      <w:hyperlink r:id="rId11" w:history="1">
        <w:r w:rsidRPr="00D92227">
          <w:rPr>
            <w:rStyle w:val="Hyperlink"/>
            <w:rFonts w:cs="Arial"/>
            <w:b/>
            <w:bCs/>
            <w:strike/>
            <w:color w:val="1F497D" w:themeColor="text2"/>
            <w:szCs w:val="20"/>
          </w:rPr>
          <w:t>Atopic Dermatitis Agents, Immunomodulators PDL Edit | mydss.mo.gov</w:t>
        </w:r>
      </w:hyperlink>
      <w:r w:rsidRPr="00D92227">
        <w:rPr>
          <w:rFonts w:cs="Arial"/>
          <w:b/>
          <w:bCs/>
          <w:strike/>
          <w:color w:val="1F497D" w:themeColor="text2"/>
          <w:szCs w:val="20"/>
        </w:rPr>
        <w:t>.</w:t>
      </w:r>
    </w:p>
    <w:p w14:paraId="4C2D0537" w14:textId="77777777" w:rsidR="00133FAA" w:rsidRPr="00D92227" w:rsidRDefault="00133FAA" w:rsidP="00133FAA">
      <w:pPr>
        <w:numPr>
          <w:ilvl w:val="1"/>
          <w:numId w:val="17"/>
        </w:numPr>
        <w:rPr>
          <w:rFonts w:cs="Arial"/>
          <w:b/>
          <w:bCs/>
          <w:strike/>
          <w:color w:val="1F497D" w:themeColor="text2"/>
          <w:szCs w:val="20"/>
        </w:rPr>
      </w:pPr>
      <w:r w:rsidRPr="00D92227">
        <w:rPr>
          <w:rFonts w:cs="Arial"/>
          <w:b/>
          <w:bCs/>
          <w:strike/>
          <w:color w:val="1F497D" w:themeColor="text2"/>
          <w:szCs w:val="20"/>
        </w:rPr>
        <w:t>For all other claims:</w:t>
      </w:r>
    </w:p>
    <w:p w14:paraId="762DD9E8" w14:textId="77777777" w:rsidR="00133FAA" w:rsidRPr="0036118B" w:rsidRDefault="00133FAA" w:rsidP="00133FAA">
      <w:pPr>
        <w:numPr>
          <w:ilvl w:val="2"/>
          <w:numId w:val="17"/>
        </w:numPr>
        <w:rPr>
          <w:rFonts w:cs="Arial"/>
          <w:szCs w:val="20"/>
        </w:rPr>
      </w:pPr>
      <w:r w:rsidRPr="0036118B">
        <w:rPr>
          <w:rFonts w:cs="Arial"/>
          <w:szCs w:val="20"/>
        </w:rPr>
        <w:t xml:space="preserve">Must meet one of the following: </w:t>
      </w:r>
    </w:p>
    <w:p w14:paraId="580D8BB2" w14:textId="77777777" w:rsidR="00133FAA" w:rsidRPr="0036118B" w:rsidRDefault="00133FAA" w:rsidP="00133FAA">
      <w:pPr>
        <w:numPr>
          <w:ilvl w:val="3"/>
          <w:numId w:val="17"/>
        </w:numPr>
        <w:ind w:left="1440"/>
        <w:rPr>
          <w:rFonts w:cs="Arial"/>
          <w:szCs w:val="20"/>
        </w:rPr>
      </w:pPr>
      <w:r w:rsidRPr="0036118B">
        <w:rPr>
          <w:rFonts w:cs="Arial"/>
          <w:szCs w:val="20"/>
        </w:rPr>
        <w:t xml:space="preserve">Claim is for a preferred agent; </w:t>
      </w:r>
      <w:r w:rsidRPr="0036118B">
        <w:rPr>
          <w:rFonts w:cs="Arial"/>
          <w:b/>
          <w:bCs/>
          <w:szCs w:val="20"/>
        </w:rPr>
        <w:t>OR</w:t>
      </w:r>
    </w:p>
    <w:p w14:paraId="1AB51398" w14:textId="77777777" w:rsidR="00133FAA" w:rsidRPr="0036118B" w:rsidRDefault="00133FAA" w:rsidP="00133FAA">
      <w:pPr>
        <w:numPr>
          <w:ilvl w:val="3"/>
          <w:numId w:val="17"/>
        </w:numPr>
        <w:ind w:left="1440"/>
        <w:rPr>
          <w:rFonts w:cs="Arial"/>
          <w:szCs w:val="20"/>
        </w:rPr>
      </w:pPr>
      <w:r w:rsidRPr="0036118B">
        <w:rPr>
          <w:rFonts w:cs="Arial"/>
          <w:szCs w:val="20"/>
        </w:rPr>
        <w:t>Failure to achieve desired therapeutic outcomes with trial on 1 or more preferred agents in the past 6 months:</w:t>
      </w:r>
    </w:p>
    <w:p w14:paraId="2FBD5F39" w14:textId="77777777" w:rsidR="00133FAA" w:rsidRPr="0036118B" w:rsidRDefault="00133FAA" w:rsidP="00133FAA">
      <w:pPr>
        <w:numPr>
          <w:ilvl w:val="4"/>
          <w:numId w:val="17"/>
        </w:numPr>
        <w:ind w:left="1800"/>
        <w:rPr>
          <w:rFonts w:cs="Arial"/>
          <w:szCs w:val="20"/>
        </w:rPr>
      </w:pPr>
      <w:r w:rsidRPr="0036118B">
        <w:rPr>
          <w:rFonts w:cs="Arial"/>
          <w:szCs w:val="20"/>
        </w:rPr>
        <w:t xml:space="preserve">Documented trial period of preferred agents; </w:t>
      </w:r>
      <w:r w:rsidRPr="0036118B">
        <w:rPr>
          <w:rFonts w:cs="Arial"/>
          <w:b/>
          <w:bCs/>
          <w:szCs w:val="20"/>
        </w:rPr>
        <w:t>OR</w:t>
      </w:r>
    </w:p>
    <w:p w14:paraId="0EFADF9B" w14:textId="77777777" w:rsidR="00133FAA" w:rsidRPr="0036118B" w:rsidRDefault="00133FAA" w:rsidP="00133FAA">
      <w:pPr>
        <w:numPr>
          <w:ilvl w:val="4"/>
          <w:numId w:val="17"/>
        </w:numPr>
        <w:ind w:left="1800"/>
        <w:rPr>
          <w:rFonts w:cs="Arial"/>
          <w:szCs w:val="20"/>
        </w:rPr>
      </w:pPr>
      <w:r w:rsidRPr="0036118B">
        <w:rPr>
          <w:rFonts w:cs="Arial"/>
          <w:szCs w:val="20"/>
        </w:rPr>
        <w:t>Documented ADE/ADR to preferred agents.</w:t>
      </w:r>
    </w:p>
    <w:p w14:paraId="4961053D"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Additional approval criteria for Zoryve Foam for plaque psoriasis – must meet </w:t>
      </w:r>
      <w:proofErr w:type="gramStart"/>
      <w:r w:rsidRPr="00D92227">
        <w:rPr>
          <w:rFonts w:cs="Arial"/>
          <w:b/>
          <w:bCs/>
          <w:strike/>
          <w:color w:val="1F497D" w:themeColor="text2"/>
          <w:szCs w:val="20"/>
        </w:rPr>
        <w:t>all of</w:t>
      </w:r>
      <w:proofErr w:type="gramEnd"/>
      <w:r w:rsidRPr="00D92227">
        <w:rPr>
          <w:rFonts w:cs="Arial"/>
          <w:b/>
          <w:bCs/>
          <w:strike/>
          <w:color w:val="1F497D" w:themeColor="text2"/>
          <w:szCs w:val="20"/>
        </w:rPr>
        <w:t xml:space="preserve"> the following:</w:t>
      </w:r>
    </w:p>
    <w:p w14:paraId="2A12DD63"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Prescribed by or in consultation with a rheumatologist or dermatologist;</w:t>
      </w:r>
    </w:p>
    <w:p w14:paraId="30C3EBD8"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Participant is aged ≥ 12 years;</w:t>
      </w:r>
    </w:p>
    <w:p w14:paraId="673B7EE1" w14:textId="77777777" w:rsidR="00133FAA" w:rsidRPr="00D92227" w:rsidRDefault="00133FAA" w:rsidP="00133FAA">
      <w:pPr>
        <w:numPr>
          <w:ilvl w:val="3"/>
          <w:numId w:val="17"/>
        </w:numPr>
        <w:ind w:left="1440"/>
        <w:rPr>
          <w:rFonts w:cs="Arial"/>
          <w:b/>
          <w:bCs/>
          <w:strike/>
          <w:color w:val="1F497D" w:themeColor="text2"/>
          <w:szCs w:val="20"/>
          <w:lang w:val="es-US"/>
        </w:rPr>
      </w:pPr>
      <w:r w:rsidRPr="00D92227">
        <w:rPr>
          <w:rFonts w:cs="Arial"/>
          <w:b/>
          <w:bCs/>
          <w:strike/>
          <w:color w:val="1F497D" w:themeColor="text2"/>
          <w:szCs w:val="20"/>
          <w:lang w:val="es-US"/>
        </w:rPr>
        <w:t>Documented diagnosis of plaque psoriasis;</w:t>
      </w:r>
    </w:p>
    <w:p w14:paraId="707F6D87"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Must meet one of the following:</w:t>
      </w:r>
    </w:p>
    <w:p w14:paraId="6399D48B"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Failure to achieve desired therapeutic outcomes with trial on 1 non-preferred agent, excluding Vtama, Zoryve Cream 0.3%, and Zoryve Foam 0.3%; OR</w:t>
      </w:r>
    </w:p>
    <w:p w14:paraId="1F7BC61E"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 xml:space="preserve">Failure to achieve desired therapeutic outcomes with trial of either pimecrolimus or topical tacrolimus in the past 6 months (reference </w:t>
      </w:r>
      <w:hyperlink r:id="rId12" w:history="1">
        <w:r w:rsidRPr="00D92227">
          <w:rPr>
            <w:rStyle w:val="Hyperlink"/>
            <w:rFonts w:cs="Arial"/>
            <w:b/>
            <w:bCs/>
            <w:strike/>
            <w:color w:val="1F497D" w:themeColor="text2"/>
            <w:szCs w:val="20"/>
          </w:rPr>
          <w:t>Atopic Dermatitis Agents, Immunomodulators PDL Edit | mydss.mo.gov</w:t>
        </w:r>
      </w:hyperlink>
      <w:r w:rsidRPr="00D92227">
        <w:rPr>
          <w:rFonts w:cs="Arial"/>
          <w:b/>
          <w:bCs/>
          <w:strike/>
          <w:color w:val="1F497D" w:themeColor="text2"/>
          <w:szCs w:val="20"/>
        </w:rPr>
        <w:t>); AND</w:t>
      </w:r>
    </w:p>
    <w:p w14:paraId="6A6C3CC5"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Must meet one of the following:</w:t>
      </w:r>
    </w:p>
    <w:p w14:paraId="55644388" w14:textId="77777777" w:rsidR="00133FAA" w:rsidRPr="00D92227" w:rsidRDefault="00133FAA" w:rsidP="00133FAA">
      <w:pPr>
        <w:pStyle w:val="ListParagraph"/>
        <w:numPr>
          <w:ilvl w:val="4"/>
          <w:numId w:val="17"/>
        </w:numPr>
        <w:ind w:left="1800"/>
        <w:rPr>
          <w:rFonts w:cs="Arial"/>
          <w:b/>
          <w:bCs/>
          <w:strike/>
          <w:color w:val="1F497D" w:themeColor="text2"/>
          <w:szCs w:val="20"/>
        </w:rPr>
      </w:pPr>
      <w:r w:rsidRPr="00D92227">
        <w:rPr>
          <w:rFonts w:cs="Arial"/>
          <w:b/>
          <w:bCs/>
          <w:strike/>
          <w:color w:val="1F497D" w:themeColor="text2"/>
          <w:szCs w:val="20"/>
        </w:rPr>
        <w:t xml:space="preserve">Documented BSA involvement ≥ 2% and </w:t>
      </w:r>
      <w:bookmarkStart w:id="1" w:name="_Hlk201749117"/>
      <w:r w:rsidRPr="00D92227">
        <w:rPr>
          <w:rFonts w:cs="Arial"/>
          <w:b/>
          <w:bCs/>
          <w:strike/>
          <w:color w:val="1F497D" w:themeColor="text2"/>
          <w:szCs w:val="20"/>
        </w:rPr>
        <w:t>≤</w:t>
      </w:r>
      <w:bookmarkEnd w:id="1"/>
      <w:r w:rsidRPr="00D92227">
        <w:rPr>
          <w:rFonts w:cs="Arial"/>
          <w:b/>
          <w:bCs/>
          <w:strike/>
          <w:color w:val="1F497D" w:themeColor="text2"/>
          <w:szCs w:val="20"/>
        </w:rPr>
        <w:t xml:space="preserve"> 20%; OR</w:t>
      </w:r>
    </w:p>
    <w:p w14:paraId="027F9CD0"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Scalp involvement</w:t>
      </w:r>
    </w:p>
    <w:p w14:paraId="74AF9A52"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Additional approval criteria for Zoryve 0.3% Cream – must meet </w:t>
      </w:r>
      <w:proofErr w:type="gramStart"/>
      <w:r w:rsidRPr="00D92227">
        <w:rPr>
          <w:rFonts w:cs="Arial"/>
          <w:b/>
          <w:bCs/>
          <w:strike/>
          <w:color w:val="1F497D" w:themeColor="text2"/>
          <w:szCs w:val="20"/>
        </w:rPr>
        <w:t>all of</w:t>
      </w:r>
      <w:proofErr w:type="gramEnd"/>
      <w:r w:rsidRPr="00D92227">
        <w:rPr>
          <w:rFonts w:cs="Arial"/>
          <w:b/>
          <w:bCs/>
          <w:strike/>
          <w:color w:val="1F497D" w:themeColor="text2"/>
          <w:szCs w:val="20"/>
        </w:rPr>
        <w:t xml:space="preserve"> the following:</w:t>
      </w:r>
    </w:p>
    <w:p w14:paraId="0FC035EE"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Prescribed by or in consultation with a rheumatologist or dermatologist;</w:t>
      </w:r>
    </w:p>
    <w:p w14:paraId="5BE1927F"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Participant is aged ≥ 6 years;</w:t>
      </w:r>
    </w:p>
    <w:p w14:paraId="77BE0453" w14:textId="77777777" w:rsidR="00133FAA" w:rsidRPr="00D92227" w:rsidRDefault="00133FAA" w:rsidP="00133FAA">
      <w:pPr>
        <w:numPr>
          <w:ilvl w:val="3"/>
          <w:numId w:val="17"/>
        </w:numPr>
        <w:ind w:left="1440"/>
        <w:rPr>
          <w:rFonts w:cs="Arial"/>
          <w:b/>
          <w:bCs/>
          <w:strike/>
          <w:color w:val="1F497D" w:themeColor="text2"/>
          <w:szCs w:val="20"/>
          <w:lang w:val="es-US"/>
        </w:rPr>
      </w:pPr>
      <w:r w:rsidRPr="00D92227">
        <w:rPr>
          <w:rFonts w:cs="Arial"/>
          <w:b/>
          <w:bCs/>
          <w:strike/>
          <w:color w:val="1F497D" w:themeColor="text2"/>
          <w:szCs w:val="20"/>
          <w:lang w:val="es-US"/>
        </w:rPr>
        <w:t>Documented diagnosis of plaque psoriasis;</w:t>
      </w:r>
    </w:p>
    <w:p w14:paraId="4FB8DD76"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Documented body surface area (BSA) involvement ≥ 2% and ≤ 20%; AND</w:t>
      </w:r>
    </w:p>
    <w:p w14:paraId="0214D4B5"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Must meet one of the following:</w:t>
      </w:r>
    </w:p>
    <w:p w14:paraId="7430D940"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Failure to achieve desired therapeutic outcomes with trial on 1 non-preferred agent, excluding Vtama, Zoryve Cream 0.3%, and Zoryve Foam 0.3%; OR</w:t>
      </w:r>
    </w:p>
    <w:p w14:paraId="110B609F"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 xml:space="preserve">Failure to achieve desired therapeutic outcomes with trial of either pimecrolimus or topical tacrolimus in the past 6 months (reference </w:t>
      </w:r>
      <w:hyperlink r:id="rId13" w:history="1">
        <w:r w:rsidRPr="00D92227">
          <w:rPr>
            <w:rStyle w:val="Hyperlink"/>
            <w:rFonts w:cs="Arial"/>
            <w:b/>
            <w:bCs/>
            <w:strike/>
            <w:color w:val="1F497D" w:themeColor="text2"/>
            <w:szCs w:val="20"/>
          </w:rPr>
          <w:t>Atopic Dermatitis Agents, Immunomodulators PDL Edit | mydss.mo.gov</w:t>
        </w:r>
      </w:hyperlink>
      <w:r w:rsidRPr="00D92227">
        <w:rPr>
          <w:rFonts w:cs="Arial"/>
          <w:b/>
          <w:bCs/>
          <w:strike/>
          <w:color w:val="1F497D" w:themeColor="text2"/>
          <w:szCs w:val="20"/>
        </w:rPr>
        <w:t>).</w:t>
      </w:r>
    </w:p>
    <w:p w14:paraId="7C865B3F" w14:textId="77777777" w:rsidR="00133FAA" w:rsidRPr="00D92227" w:rsidRDefault="00133FAA" w:rsidP="00133FAA">
      <w:pPr>
        <w:numPr>
          <w:ilvl w:val="2"/>
          <w:numId w:val="17"/>
        </w:numPr>
        <w:rPr>
          <w:rFonts w:cs="Arial"/>
          <w:b/>
          <w:bCs/>
          <w:strike/>
          <w:color w:val="1F497D" w:themeColor="text2"/>
          <w:szCs w:val="20"/>
        </w:rPr>
      </w:pPr>
      <w:r w:rsidRPr="00D92227">
        <w:rPr>
          <w:rFonts w:cs="Arial"/>
          <w:b/>
          <w:bCs/>
          <w:strike/>
          <w:color w:val="1F497D" w:themeColor="text2"/>
          <w:szCs w:val="20"/>
        </w:rPr>
        <w:t xml:space="preserve">Additional approval criteria for Vtama for plaque psoriasis – must meet </w:t>
      </w:r>
      <w:proofErr w:type="gramStart"/>
      <w:r w:rsidRPr="00D92227">
        <w:rPr>
          <w:rFonts w:cs="Arial"/>
          <w:b/>
          <w:bCs/>
          <w:strike/>
          <w:color w:val="1F497D" w:themeColor="text2"/>
          <w:szCs w:val="20"/>
        </w:rPr>
        <w:t>all of</w:t>
      </w:r>
      <w:proofErr w:type="gramEnd"/>
      <w:r w:rsidRPr="00D92227">
        <w:rPr>
          <w:rFonts w:cs="Arial"/>
          <w:b/>
          <w:bCs/>
          <w:strike/>
          <w:color w:val="1F497D" w:themeColor="text2"/>
          <w:szCs w:val="20"/>
        </w:rPr>
        <w:t xml:space="preserve"> the following:</w:t>
      </w:r>
    </w:p>
    <w:p w14:paraId="49677586"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Prescribed by or in consultation with a rheumatologist or dermatologist;</w:t>
      </w:r>
    </w:p>
    <w:p w14:paraId="2114766A"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lastRenderedPageBreak/>
        <w:t>Participant is aged ≥ 18 years;</w:t>
      </w:r>
    </w:p>
    <w:p w14:paraId="290F8718" w14:textId="77777777" w:rsidR="00133FAA" w:rsidRPr="00D92227" w:rsidRDefault="00133FAA" w:rsidP="00133FAA">
      <w:pPr>
        <w:numPr>
          <w:ilvl w:val="3"/>
          <w:numId w:val="17"/>
        </w:numPr>
        <w:ind w:left="1440"/>
        <w:rPr>
          <w:rFonts w:cs="Arial"/>
          <w:b/>
          <w:bCs/>
          <w:strike/>
          <w:color w:val="1F497D" w:themeColor="text2"/>
          <w:szCs w:val="20"/>
          <w:lang w:val="es-US"/>
        </w:rPr>
      </w:pPr>
      <w:r w:rsidRPr="00D92227">
        <w:rPr>
          <w:rFonts w:cs="Arial"/>
          <w:b/>
          <w:bCs/>
          <w:strike/>
          <w:color w:val="1F497D" w:themeColor="text2"/>
          <w:szCs w:val="20"/>
          <w:lang w:val="es-US"/>
        </w:rPr>
        <w:t>Documented diagnosis of plaque psoriasis;</w:t>
      </w:r>
    </w:p>
    <w:p w14:paraId="53BE5B3D"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Documented body surface area (BSA) involvement ≥ 2% and ≤ 20%;</w:t>
      </w:r>
    </w:p>
    <w:p w14:paraId="48BF23DA"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Must meet one of the following:</w:t>
      </w:r>
    </w:p>
    <w:p w14:paraId="67CF433A"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Failure to achieve desired therapeutic outcomes with trial on 1 non-preferred agent, excluding Vtama, Zoryve Cream 0.3%, and Zoryve Foam 0.3%; OR</w:t>
      </w:r>
    </w:p>
    <w:p w14:paraId="1552EA87" w14:textId="77777777" w:rsidR="00133FAA" w:rsidRPr="00D92227" w:rsidRDefault="00133FAA" w:rsidP="00133FAA">
      <w:pPr>
        <w:numPr>
          <w:ilvl w:val="4"/>
          <w:numId w:val="17"/>
        </w:numPr>
        <w:ind w:left="1800"/>
        <w:rPr>
          <w:rFonts w:cs="Arial"/>
          <w:b/>
          <w:bCs/>
          <w:strike/>
          <w:color w:val="1F497D" w:themeColor="text2"/>
          <w:szCs w:val="20"/>
        </w:rPr>
      </w:pPr>
      <w:r w:rsidRPr="00D92227">
        <w:rPr>
          <w:rFonts w:cs="Arial"/>
          <w:b/>
          <w:bCs/>
          <w:strike/>
          <w:color w:val="1F497D" w:themeColor="text2"/>
          <w:szCs w:val="20"/>
        </w:rPr>
        <w:t xml:space="preserve">Failure to achieve desired therapeutic outcomes with trial of either pimecrolimus or topical tacrolimus in the past 6 months (reference </w:t>
      </w:r>
      <w:hyperlink r:id="rId14" w:history="1">
        <w:r w:rsidRPr="00D92227">
          <w:rPr>
            <w:rStyle w:val="Hyperlink"/>
            <w:rFonts w:cs="Arial"/>
            <w:b/>
            <w:bCs/>
            <w:strike/>
            <w:color w:val="1F497D" w:themeColor="text2"/>
            <w:szCs w:val="20"/>
          </w:rPr>
          <w:t>Atopic Dermatitis Agents, Immunomodulators PDL Edit | mydss.mo.gov</w:t>
        </w:r>
      </w:hyperlink>
      <w:r w:rsidRPr="00D92227">
        <w:rPr>
          <w:rFonts w:cs="Arial"/>
          <w:b/>
          <w:bCs/>
          <w:strike/>
          <w:color w:val="1F497D" w:themeColor="text2"/>
          <w:szCs w:val="20"/>
        </w:rPr>
        <w:t>); AND</w:t>
      </w:r>
    </w:p>
    <w:p w14:paraId="28FC0A72" w14:textId="77777777" w:rsidR="00133FAA" w:rsidRPr="00D92227" w:rsidRDefault="00133FAA" w:rsidP="00133FAA">
      <w:pPr>
        <w:numPr>
          <w:ilvl w:val="3"/>
          <w:numId w:val="17"/>
        </w:numPr>
        <w:ind w:left="1440"/>
        <w:rPr>
          <w:rFonts w:cs="Arial"/>
          <w:b/>
          <w:bCs/>
          <w:strike/>
          <w:color w:val="1F497D" w:themeColor="text2"/>
          <w:szCs w:val="20"/>
        </w:rPr>
      </w:pPr>
      <w:r w:rsidRPr="00D92227">
        <w:rPr>
          <w:rFonts w:cs="Arial"/>
          <w:b/>
          <w:bCs/>
          <w:strike/>
          <w:color w:val="1F497D" w:themeColor="text2"/>
          <w:szCs w:val="20"/>
        </w:rPr>
        <w:t>Failure to achieve desired therapeutic outcomes with trial on Zoryve 0.3% Cream or Zoryve Foam in the past 6 months.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680BAE">
        <w:rPr>
          <w:b/>
          <w:bCs/>
          <w:strike/>
          <w:color w:val="1F497D" w:themeColor="text2"/>
        </w:rPr>
        <w:t>OR</w:t>
      </w:r>
    </w:p>
    <w:p w14:paraId="1D97C1E5" w14:textId="77777777" w:rsidR="00904D7A" w:rsidRPr="00680BAE" w:rsidRDefault="00904D7A" w:rsidP="00C722C9">
      <w:pPr>
        <w:pStyle w:val="ListParagraph"/>
        <w:numPr>
          <w:ilvl w:val="1"/>
          <w:numId w:val="6"/>
        </w:numPr>
        <w:rPr>
          <w:b/>
          <w:bCs/>
          <w:strike/>
          <w:color w:val="1F497D" w:themeColor="text2"/>
        </w:rPr>
      </w:pPr>
      <w:r w:rsidRPr="00680BAE">
        <w:rPr>
          <w:b/>
          <w:bCs/>
          <w:strike/>
          <w:color w:val="1F497D" w:themeColor="text2"/>
        </w:rPr>
        <w:t>Claim exceeds maximum dosing limitations:</w:t>
      </w:r>
    </w:p>
    <w:tbl>
      <w:tblPr>
        <w:tblW w:w="90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3240"/>
        <w:gridCol w:w="2970"/>
      </w:tblGrid>
      <w:tr w:rsidR="00680BAE" w:rsidRPr="00680BAE" w14:paraId="71CF1767" w14:textId="77777777" w:rsidTr="00EC2137">
        <w:tc>
          <w:tcPr>
            <w:tcW w:w="2880" w:type="dxa"/>
            <w:shd w:val="clear" w:color="auto" w:fill="FABF8F" w:themeFill="accent6" w:themeFillTint="99"/>
            <w:vAlign w:val="bottom"/>
          </w:tcPr>
          <w:p w14:paraId="6DEBE53B" w14:textId="77777777" w:rsidR="00680BAE" w:rsidRPr="00680BAE" w:rsidRDefault="00680BAE" w:rsidP="00EC2137">
            <w:pPr>
              <w:rPr>
                <w:rFonts w:cs="Arial"/>
                <w:b/>
                <w:bCs/>
                <w:strike/>
                <w:color w:val="1F497D" w:themeColor="text2"/>
                <w:szCs w:val="20"/>
              </w:rPr>
            </w:pPr>
            <w:r w:rsidRPr="00680BAE">
              <w:rPr>
                <w:rFonts w:cs="Arial"/>
                <w:b/>
                <w:bCs/>
                <w:strike/>
                <w:color w:val="1F497D" w:themeColor="text2"/>
                <w:szCs w:val="20"/>
              </w:rPr>
              <w:t>Drug Description</w:t>
            </w:r>
          </w:p>
        </w:tc>
        <w:tc>
          <w:tcPr>
            <w:tcW w:w="3240" w:type="dxa"/>
            <w:shd w:val="clear" w:color="auto" w:fill="FABF8F" w:themeFill="accent6" w:themeFillTint="99"/>
            <w:vAlign w:val="bottom"/>
          </w:tcPr>
          <w:p w14:paraId="0DC5FB27" w14:textId="77777777" w:rsidR="00680BAE" w:rsidRPr="00680BAE" w:rsidRDefault="00680BAE" w:rsidP="00EC2137">
            <w:pPr>
              <w:rPr>
                <w:rFonts w:cs="Arial"/>
                <w:b/>
                <w:bCs/>
                <w:strike/>
                <w:color w:val="1F497D" w:themeColor="text2"/>
                <w:szCs w:val="20"/>
              </w:rPr>
            </w:pPr>
            <w:r w:rsidRPr="00680BAE">
              <w:rPr>
                <w:rFonts w:cs="Arial"/>
                <w:b/>
                <w:bCs/>
                <w:strike/>
                <w:color w:val="1F497D" w:themeColor="text2"/>
                <w:szCs w:val="20"/>
              </w:rPr>
              <w:t>Generic Equivalent</w:t>
            </w:r>
          </w:p>
        </w:tc>
        <w:tc>
          <w:tcPr>
            <w:tcW w:w="2970" w:type="dxa"/>
            <w:shd w:val="clear" w:color="auto" w:fill="FABF8F" w:themeFill="accent6" w:themeFillTint="99"/>
          </w:tcPr>
          <w:p w14:paraId="7F40BE3D" w14:textId="77777777" w:rsidR="00680BAE" w:rsidRPr="00680BAE" w:rsidRDefault="00680BAE" w:rsidP="00EC2137">
            <w:pPr>
              <w:rPr>
                <w:rFonts w:cs="Arial"/>
                <w:b/>
                <w:bCs/>
                <w:strike/>
                <w:color w:val="1F497D" w:themeColor="text2"/>
                <w:szCs w:val="20"/>
              </w:rPr>
            </w:pPr>
            <w:r w:rsidRPr="00680BAE">
              <w:rPr>
                <w:rFonts w:cs="Arial"/>
                <w:b/>
                <w:bCs/>
                <w:strike/>
                <w:color w:val="1F497D" w:themeColor="text2"/>
                <w:szCs w:val="20"/>
              </w:rPr>
              <w:t>Max Dosing Limitation</w:t>
            </w:r>
          </w:p>
        </w:tc>
      </w:tr>
      <w:tr w:rsidR="00680BAE" w:rsidRPr="0036118B" w14:paraId="7E8B818F" w14:textId="77777777" w:rsidTr="00EC2137">
        <w:tc>
          <w:tcPr>
            <w:tcW w:w="2880" w:type="dxa"/>
            <w:tcBorders>
              <w:top w:val="single" w:sz="4" w:space="0" w:color="auto"/>
              <w:left w:val="single" w:sz="4" w:space="0" w:color="auto"/>
              <w:bottom w:val="single" w:sz="4" w:space="0" w:color="auto"/>
              <w:right w:val="single" w:sz="4" w:space="0" w:color="auto"/>
            </w:tcBorders>
          </w:tcPr>
          <w:p w14:paraId="30C1C454" w14:textId="77777777" w:rsidR="00680BAE" w:rsidRPr="00680BAE" w:rsidRDefault="00680BAE" w:rsidP="00EC2137">
            <w:pPr>
              <w:jc w:val="both"/>
              <w:rPr>
                <w:rFonts w:cs="Arial"/>
                <w:b/>
                <w:bCs/>
                <w:caps/>
                <w:strike/>
                <w:color w:val="1F497D" w:themeColor="text2"/>
                <w:szCs w:val="20"/>
              </w:rPr>
            </w:pPr>
            <w:r w:rsidRPr="00680BAE">
              <w:rPr>
                <w:rFonts w:cs="Arial"/>
                <w:b/>
                <w:bCs/>
                <w:caps/>
                <w:strike/>
                <w:color w:val="1F497D" w:themeColor="text2"/>
                <w:szCs w:val="20"/>
              </w:rPr>
              <w:t>Duobrii 0.01%-0.045% Lot</w:t>
            </w:r>
          </w:p>
        </w:tc>
        <w:tc>
          <w:tcPr>
            <w:tcW w:w="3240" w:type="dxa"/>
            <w:tcBorders>
              <w:top w:val="single" w:sz="4" w:space="0" w:color="auto"/>
              <w:left w:val="single" w:sz="4" w:space="0" w:color="auto"/>
              <w:bottom w:val="single" w:sz="4" w:space="0" w:color="auto"/>
              <w:right w:val="single" w:sz="4" w:space="0" w:color="auto"/>
            </w:tcBorders>
          </w:tcPr>
          <w:p w14:paraId="14959260"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Halobetasol/Tazarotene</w:t>
            </w:r>
          </w:p>
        </w:tc>
        <w:tc>
          <w:tcPr>
            <w:tcW w:w="2970" w:type="dxa"/>
            <w:tcBorders>
              <w:top w:val="single" w:sz="4" w:space="0" w:color="auto"/>
              <w:left w:val="single" w:sz="4" w:space="0" w:color="auto"/>
              <w:bottom w:val="single" w:sz="4" w:space="0" w:color="auto"/>
              <w:right w:val="single" w:sz="4" w:space="0" w:color="auto"/>
            </w:tcBorders>
          </w:tcPr>
          <w:p w14:paraId="491D27C5"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 xml:space="preserve">360 grams per 365 days </w:t>
            </w:r>
          </w:p>
        </w:tc>
      </w:tr>
      <w:tr w:rsidR="00680BAE" w:rsidRPr="0036118B" w14:paraId="47CCE010" w14:textId="77777777" w:rsidTr="00EC2137">
        <w:tc>
          <w:tcPr>
            <w:tcW w:w="2880" w:type="dxa"/>
            <w:tcBorders>
              <w:top w:val="single" w:sz="4" w:space="0" w:color="auto"/>
              <w:left w:val="single" w:sz="4" w:space="0" w:color="auto"/>
              <w:bottom w:val="single" w:sz="4" w:space="0" w:color="auto"/>
              <w:right w:val="single" w:sz="4" w:space="0" w:color="auto"/>
            </w:tcBorders>
            <w:vAlign w:val="center"/>
          </w:tcPr>
          <w:p w14:paraId="48F658B7" w14:textId="77777777" w:rsidR="00680BAE" w:rsidRPr="00680BAE" w:rsidRDefault="00680BAE" w:rsidP="00EC2137">
            <w:pPr>
              <w:jc w:val="both"/>
              <w:rPr>
                <w:rFonts w:cs="Arial"/>
                <w:b/>
                <w:bCs/>
                <w:caps/>
                <w:strike/>
                <w:color w:val="1F497D" w:themeColor="text2"/>
                <w:szCs w:val="20"/>
              </w:rPr>
            </w:pPr>
            <w:r w:rsidRPr="00680BAE">
              <w:rPr>
                <w:rFonts w:cs="Arial"/>
                <w:b/>
                <w:bCs/>
                <w:caps/>
                <w:strike/>
                <w:color w:val="1F497D" w:themeColor="text2"/>
                <w:szCs w:val="20"/>
              </w:rPr>
              <w:t>VTAMA 1% CREAM</w:t>
            </w:r>
          </w:p>
        </w:tc>
        <w:tc>
          <w:tcPr>
            <w:tcW w:w="3240" w:type="dxa"/>
            <w:tcBorders>
              <w:top w:val="single" w:sz="4" w:space="0" w:color="auto"/>
              <w:left w:val="single" w:sz="4" w:space="0" w:color="auto"/>
              <w:bottom w:val="single" w:sz="4" w:space="0" w:color="auto"/>
              <w:right w:val="single" w:sz="4" w:space="0" w:color="auto"/>
            </w:tcBorders>
            <w:vAlign w:val="center"/>
          </w:tcPr>
          <w:p w14:paraId="2DB6316F"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tapinarof</w:t>
            </w:r>
          </w:p>
        </w:tc>
        <w:tc>
          <w:tcPr>
            <w:tcW w:w="2970" w:type="dxa"/>
            <w:tcBorders>
              <w:top w:val="single" w:sz="4" w:space="0" w:color="auto"/>
              <w:left w:val="single" w:sz="4" w:space="0" w:color="auto"/>
              <w:bottom w:val="single" w:sz="4" w:space="0" w:color="auto"/>
              <w:right w:val="single" w:sz="4" w:space="0" w:color="auto"/>
            </w:tcBorders>
          </w:tcPr>
          <w:p w14:paraId="419337B5"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 xml:space="preserve">360 grams per 365 days </w:t>
            </w:r>
          </w:p>
        </w:tc>
      </w:tr>
      <w:tr w:rsidR="00680BAE" w:rsidRPr="0036118B" w14:paraId="3BEAA3D6" w14:textId="77777777" w:rsidTr="00EC2137">
        <w:tc>
          <w:tcPr>
            <w:tcW w:w="2880" w:type="dxa"/>
            <w:tcBorders>
              <w:top w:val="single" w:sz="4" w:space="0" w:color="auto"/>
              <w:left w:val="single" w:sz="4" w:space="0" w:color="auto"/>
              <w:bottom w:val="single" w:sz="4" w:space="0" w:color="auto"/>
              <w:right w:val="single" w:sz="4" w:space="0" w:color="auto"/>
            </w:tcBorders>
          </w:tcPr>
          <w:p w14:paraId="19BCA054" w14:textId="77777777" w:rsidR="00680BAE" w:rsidRPr="00680BAE" w:rsidRDefault="00680BAE" w:rsidP="00EC2137">
            <w:pPr>
              <w:jc w:val="both"/>
              <w:rPr>
                <w:rFonts w:cs="Arial"/>
                <w:b/>
                <w:bCs/>
                <w:caps/>
                <w:strike/>
                <w:color w:val="1F497D" w:themeColor="text2"/>
                <w:szCs w:val="20"/>
              </w:rPr>
            </w:pPr>
            <w:r w:rsidRPr="00680BAE">
              <w:rPr>
                <w:rFonts w:cs="Arial"/>
                <w:b/>
                <w:bCs/>
                <w:caps/>
                <w:strike/>
                <w:color w:val="1F497D" w:themeColor="text2"/>
                <w:szCs w:val="20"/>
              </w:rPr>
              <w:t>ZORYVE 0.3% CREAM</w:t>
            </w:r>
          </w:p>
        </w:tc>
        <w:tc>
          <w:tcPr>
            <w:tcW w:w="3240" w:type="dxa"/>
            <w:tcBorders>
              <w:top w:val="single" w:sz="4" w:space="0" w:color="auto"/>
              <w:left w:val="single" w:sz="4" w:space="0" w:color="auto"/>
              <w:bottom w:val="single" w:sz="4" w:space="0" w:color="auto"/>
              <w:right w:val="single" w:sz="4" w:space="0" w:color="auto"/>
            </w:tcBorders>
          </w:tcPr>
          <w:p w14:paraId="745F7A2C"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Roflumilast</w:t>
            </w:r>
          </w:p>
        </w:tc>
        <w:tc>
          <w:tcPr>
            <w:tcW w:w="2970" w:type="dxa"/>
            <w:tcBorders>
              <w:top w:val="single" w:sz="4" w:space="0" w:color="auto"/>
              <w:left w:val="single" w:sz="4" w:space="0" w:color="auto"/>
              <w:bottom w:val="single" w:sz="4" w:space="0" w:color="auto"/>
              <w:right w:val="single" w:sz="4" w:space="0" w:color="auto"/>
            </w:tcBorders>
          </w:tcPr>
          <w:p w14:paraId="0DDEEB04"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 xml:space="preserve">360 grams per 365 days </w:t>
            </w:r>
          </w:p>
        </w:tc>
      </w:tr>
      <w:tr w:rsidR="00680BAE" w:rsidRPr="0036118B" w14:paraId="6EFC9226" w14:textId="77777777" w:rsidTr="00EC2137">
        <w:tc>
          <w:tcPr>
            <w:tcW w:w="2880" w:type="dxa"/>
            <w:tcBorders>
              <w:top w:val="single" w:sz="4" w:space="0" w:color="auto"/>
              <w:left w:val="single" w:sz="4" w:space="0" w:color="auto"/>
              <w:bottom w:val="single" w:sz="4" w:space="0" w:color="auto"/>
              <w:right w:val="single" w:sz="4" w:space="0" w:color="auto"/>
            </w:tcBorders>
          </w:tcPr>
          <w:p w14:paraId="339C291A" w14:textId="77777777" w:rsidR="00680BAE" w:rsidRPr="00680BAE" w:rsidRDefault="00680BAE" w:rsidP="00EC2137">
            <w:pPr>
              <w:jc w:val="both"/>
              <w:rPr>
                <w:rFonts w:cs="Arial"/>
                <w:b/>
                <w:bCs/>
                <w:caps/>
                <w:strike/>
                <w:color w:val="1F497D" w:themeColor="text2"/>
                <w:szCs w:val="20"/>
              </w:rPr>
            </w:pPr>
            <w:r w:rsidRPr="00680BAE">
              <w:rPr>
                <w:rFonts w:cs="Arial"/>
                <w:b/>
                <w:bCs/>
                <w:caps/>
                <w:strike/>
                <w:color w:val="1F497D" w:themeColor="text2"/>
                <w:szCs w:val="20"/>
              </w:rPr>
              <w:t>ZORYVE 0.3% FOAM</w:t>
            </w:r>
          </w:p>
        </w:tc>
        <w:tc>
          <w:tcPr>
            <w:tcW w:w="3240" w:type="dxa"/>
            <w:tcBorders>
              <w:top w:val="single" w:sz="4" w:space="0" w:color="auto"/>
              <w:left w:val="single" w:sz="4" w:space="0" w:color="auto"/>
              <w:bottom w:val="single" w:sz="4" w:space="0" w:color="auto"/>
              <w:right w:val="single" w:sz="4" w:space="0" w:color="auto"/>
            </w:tcBorders>
          </w:tcPr>
          <w:p w14:paraId="08E1948E"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Roflumilast</w:t>
            </w:r>
          </w:p>
        </w:tc>
        <w:tc>
          <w:tcPr>
            <w:tcW w:w="2970" w:type="dxa"/>
            <w:tcBorders>
              <w:top w:val="single" w:sz="4" w:space="0" w:color="auto"/>
              <w:left w:val="single" w:sz="4" w:space="0" w:color="auto"/>
              <w:bottom w:val="single" w:sz="4" w:space="0" w:color="auto"/>
              <w:right w:val="single" w:sz="4" w:space="0" w:color="auto"/>
            </w:tcBorders>
          </w:tcPr>
          <w:p w14:paraId="510CB159" w14:textId="77777777" w:rsidR="00680BAE" w:rsidRPr="00680BAE" w:rsidRDefault="00680BAE" w:rsidP="00EC2137">
            <w:pPr>
              <w:rPr>
                <w:rFonts w:cs="Arial"/>
                <w:b/>
                <w:bCs/>
                <w:caps/>
                <w:strike/>
                <w:color w:val="1F497D" w:themeColor="text2"/>
                <w:szCs w:val="20"/>
              </w:rPr>
            </w:pPr>
            <w:r w:rsidRPr="00680BAE">
              <w:rPr>
                <w:rFonts w:cs="Arial"/>
                <w:b/>
                <w:bCs/>
                <w:caps/>
                <w:strike/>
                <w:color w:val="1F497D" w:themeColor="text2"/>
                <w:szCs w:val="20"/>
              </w:rPr>
              <w:t xml:space="preserve">360 grams per 365 days </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3CC485F5" w14:textId="77777777" w:rsidR="00344982" w:rsidRPr="0036118B" w:rsidRDefault="00344982" w:rsidP="00344982">
      <w:pPr>
        <w:pStyle w:val="ListParagraph"/>
        <w:numPr>
          <w:ilvl w:val="0"/>
          <w:numId w:val="19"/>
        </w:numPr>
        <w:rPr>
          <w:rFonts w:cs="Arial"/>
          <w:szCs w:val="20"/>
        </w:rPr>
      </w:pPr>
      <w:r w:rsidRPr="0036118B">
        <w:rPr>
          <w:rFonts w:cs="Arial"/>
          <w:szCs w:val="20"/>
        </w:rPr>
        <w:t>Evidence-Based Medicine and Fiscal Analysis: “Therapeutic Class Review: DERMATOLOGIC AGENTS: Topical Agents for Psoriasis”, Gainwell Technologies; Last updated April 29, 2025.</w:t>
      </w:r>
    </w:p>
    <w:p w14:paraId="5A53D807" w14:textId="4BE05EA2" w:rsidR="00344982" w:rsidRPr="0036118B" w:rsidRDefault="00344982" w:rsidP="00344982">
      <w:pPr>
        <w:numPr>
          <w:ilvl w:val="0"/>
          <w:numId w:val="19"/>
        </w:numPr>
        <w:rPr>
          <w:rFonts w:cs="Arial"/>
          <w:szCs w:val="20"/>
        </w:rPr>
      </w:pPr>
      <w:r w:rsidRPr="0036118B">
        <w:rPr>
          <w:rFonts w:cs="Arial"/>
          <w:szCs w:val="20"/>
        </w:rPr>
        <w:t xml:space="preserve">Evidence-Based Medicine Analysis: “Topical Psoriasis Agents”, UMKC-DIC; </w:t>
      </w:r>
      <w:bookmarkStart w:id="3" w:name="_Hlk34121003"/>
      <w:r w:rsidRPr="0036118B">
        <w:rPr>
          <w:rFonts w:cs="Arial"/>
          <w:szCs w:val="20"/>
        </w:rPr>
        <w:t xml:space="preserve">March </w:t>
      </w:r>
      <w:r w:rsidR="005D35D6" w:rsidRPr="0036118B">
        <w:rPr>
          <w:rFonts w:cs="Arial"/>
          <w:szCs w:val="20"/>
        </w:rPr>
        <w:t>202</w:t>
      </w:r>
      <w:r w:rsidR="005D35D6">
        <w:rPr>
          <w:rFonts w:cs="Arial"/>
          <w:szCs w:val="20"/>
        </w:rPr>
        <w:t>6</w:t>
      </w:r>
      <w:r w:rsidRPr="0036118B">
        <w:rPr>
          <w:rFonts w:cs="Arial"/>
          <w:szCs w:val="20"/>
        </w:rPr>
        <w:t>.</w:t>
      </w:r>
    </w:p>
    <w:p w14:paraId="5D935E15" w14:textId="208DF206" w:rsidR="00344982" w:rsidRPr="0036118B" w:rsidRDefault="00344982" w:rsidP="00344982">
      <w:pPr>
        <w:numPr>
          <w:ilvl w:val="0"/>
          <w:numId w:val="19"/>
        </w:numPr>
        <w:rPr>
          <w:rFonts w:cs="Arial"/>
          <w:szCs w:val="20"/>
        </w:rPr>
      </w:pPr>
      <w:r w:rsidRPr="0036118B">
        <w:rPr>
          <w:rFonts w:cs="Arial"/>
          <w:szCs w:val="20"/>
        </w:rPr>
        <w:t>USPDI, Micromedex; 202</w:t>
      </w:r>
      <w:r>
        <w:rPr>
          <w:rFonts w:cs="Arial"/>
          <w:szCs w:val="20"/>
        </w:rPr>
        <w:t>6</w:t>
      </w:r>
      <w:r w:rsidRPr="0036118B">
        <w:rPr>
          <w:rFonts w:cs="Arial"/>
          <w:szCs w:val="20"/>
        </w:rPr>
        <w:t xml:space="preserve">. </w:t>
      </w:r>
      <w:bookmarkEnd w:id="3"/>
    </w:p>
    <w:p w14:paraId="798D27CA" w14:textId="2758FB6D" w:rsidR="00344982" w:rsidRPr="0036118B" w:rsidRDefault="00344982" w:rsidP="00344982">
      <w:pPr>
        <w:numPr>
          <w:ilvl w:val="0"/>
          <w:numId w:val="19"/>
        </w:numPr>
        <w:rPr>
          <w:rFonts w:cs="Arial"/>
          <w:szCs w:val="20"/>
        </w:rPr>
      </w:pPr>
      <w:r w:rsidRPr="0036118B">
        <w:rPr>
          <w:rFonts w:cs="Arial"/>
          <w:szCs w:val="20"/>
        </w:rPr>
        <w:t>Clinical Pharmacology [online]. Tampa (FL): Elsevier. 202</w:t>
      </w:r>
      <w:r>
        <w:rPr>
          <w:rFonts w:cs="Arial"/>
          <w:szCs w:val="20"/>
        </w:rPr>
        <w:t>6</w:t>
      </w:r>
      <w:r w:rsidRPr="0036118B">
        <w:rPr>
          <w:rFonts w:cs="Arial"/>
          <w:szCs w:val="20"/>
        </w:rPr>
        <w:t>.</w:t>
      </w:r>
    </w:p>
    <w:p w14:paraId="3FA1E7DB" w14:textId="4F20EA2C" w:rsidR="00777CA4" w:rsidRDefault="00777CA4" w:rsidP="00344982">
      <w:pPr>
        <w:pStyle w:val="ListParagraph"/>
        <w:numPr>
          <w:ilvl w:val="0"/>
          <w:numId w:val="0"/>
        </w:numPr>
        <w:ind w:left="360"/>
      </w:pPr>
    </w:p>
    <w:sectPr w:rsidR="00777CA4" w:rsidSect="00AB0B9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9539" w14:textId="77777777" w:rsidR="00B254AF" w:rsidRPr="00C02553" w:rsidRDefault="00B254AF" w:rsidP="00AE77DB">
      <w:r w:rsidRPr="00C02553">
        <w:separator/>
      </w:r>
    </w:p>
  </w:endnote>
  <w:endnote w:type="continuationSeparator" w:id="0">
    <w:p w14:paraId="75C4F61A" w14:textId="77777777" w:rsidR="00B254AF" w:rsidRPr="00C02553" w:rsidRDefault="00B254AF" w:rsidP="00AE77DB">
      <w:r w:rsidRPr="00C02553">
        <w:continuationSeparator/>
      </w:r>
    </w:p>
  </w:endnote>
  <w:endnote w:type="continuationNotice" w:id="1">
    <w:p w14:paraId="5A14B0E2" w14:textId="77777777" w:rsidR="00B254AF" w:rsidRPr="00C02553" w:rsidRDefault="00B25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EF10" w14:textId="77777777" w:rsidR="00B254AF" w:rsidRPr="00C02553" w:rsidRDefault="00B254AF" w:rsidP="00AE77DB">
      <w:r w:rsidRPr="00C02553">
        <w:separator/>
      </w:r>
    </w:p>
  </w:footnote>
  <w:footnote w:type="continuationSeparator" w:id="0">
    <w:p w14:paraId="18DB5D5C" w14:textId="77777777" w:rsidR="00B254AF" w:rsidRPr="00C02553" w:rsidRDefault="00B254AF" w:rsidP="00AE77DB">
      <w:r w:rsidRPr="00C02553">
        <w:continuationSeparator/>
      </w:r>
    </w:p>
  </w:footnote>
  <w:footnote w:type="continuationNotice" w:id="1">
    <w:p w14:paraId="3C01A6E7" w14:textId="77777777" w:rsidR="00B254AF" w:rsidRPr="00C02553" w:rsidRDefault="00B25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0018DC">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0018D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0018DC">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E4E99"/>
    <w:multiLevelType w:val="hybridMultilevel"/>
    <w:tmpl w:val="375E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8D40C3"/>
    <w:multiLevelType w:val="multilevel"/>
    <w:tmpl w:val="E1A2A51C"/>
    <w:numStyleLink w:val="References"/>
  </w:abstractNum>
  <w:abstractNum w:abstractNumId="6"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2F1FB6"/>
    <w:multiLevelType w:val="hybridMultilevel"/>
    <w:tmpl w:val="7BB8DC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EA7A2F"/>
    <w:multiLevelType w:val="hybridMultilevel"/>
    <w:tmpl w:val="5E8C929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5"/>
  </w:num>
  <w:num w:numId="4" w16cid:durableId="320159068">
    <w:abstractNumId w:val="10"/>
  </w:num>
  <w:num w:numId="5" w16cid:durableId="1769498754">
    <w:abstractNumId w:val="4"/>
  </w:num>
  <w:num w:numId="6" w16cid:durableId="1094596320">
    <w:abstractNumId w:val="16"/>
  </w:num>
  <w:num w:numId="7" w16cid:durableId="2110008555">
    <w:abstractNumId w:val="2"/>
  </w:num>
  <w:num w:numId="8" w16cid:durableId="489712751">
    <w:abstractNumId w:val="8"/>
  </w:num>
  <w:num w:numId="9" w16cid:durableId="1085147965">
    <w:abstractNumId w:val="12"/>
  </w:num>
  <w:num w:numId="10" w16cid:durableId="917518096">
    <w:abstractNumId w:val="11"/>
  </w:num>
  <w:num w:numId="11" w16cid:durableId="1894998475">
    <w:abstractNumId w:val="1"/>
  </w:num>
  <w:num w:numId="12" w16cid:durableId="1418215296">
    <w:abstractNumId w:val="17"/>
  </w:num>
  <w:num w:numId="13" w16cid:durableId="604729665">
    <w:abstractNumId w:val="7"/>
  </w:num>
  <w:num w:numId="14" w16cid:durableId="1805081292">
    <w:abstractNumId w:val="15"/>
  </w:num>
  <w:num w:numId="15" w16cid:durableId="718626371">
    <w:abstractNumId w:val="3"/>
  </w:num>
  <w:num w:numId="16" w16cid:durableId="754521697">
    <w:abstractNumId w:val="6"/>
  </w:num>
  <w:num w:numId="17" w16cid:durableId="1415735822">
    <w:abstractNumId w:val="13"/>
  </w:num>
  <w:num w:numId="18" w16cid:durableId="1812163811">
    <w:abstractNumId w:val="9"/>
  </w:num>
  <w:num w:numId="19" w16cid:durableId="21207527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IxWHhwgUluvIOgrPMcXd71XnP7VEyah776uIuLsMlC1P06vSDBlcXaJbVaY3GHHz8JLK7OewAN+pl0GWlAIvIg==" w:salt="FW2oKNhvExx7qf7oYvExn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18DC"/>
    <w:rsid w:val="0000390A"/>
    <w:rsid w:val="0000457E"/>
    <w:rsid w:val="00006A61"/>
    <w:rsid w:val="000276D9"/>
    <w:rsid w:val="000344C5"/>
    <w:rsid w:val="00040AD3"/>
    <w:rsid w:val="000442F8"/>
    <w:rsid w:val="00053807"/>
    <w:rsid w:val="000572E5"/>
    <w:rsid w:val="00057F84"/>
    <w:rsid w:val="00061541"/>
    <w:rsid w:val="00062FA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33FAA"/>
    <w:rsid w:val="00144DBE"/>
    <w:rsid w:val="00152C8B"/>
    <w:rsid w:val="0015636A"/>
    <w:rsid w:val="00172053"/>
    <w:rsid w:val="00177A80"/>
    <w:rsid w:val="001913F6"/>
    <w:rsid w:val="001A50CB"/>
    <w:rsid w:val="001A74B7"/>
    <w:rsid w:val="001B2D47"/>
    <w:rsid w:val="001C0250"/>
    <w:rsid w:val="001C6DA4"/>
    <w:rsid w:val="001C73B1"/>
    <w:rsid w:val="001D1E7D"/>
    <w:rsid w:val="001D6567"/>
    <w:rsid w:val="001E2CCB"/>
    <w:rsid w:val="001E4CBA"/>
    <w:rsid w:val="001E523C"/>
    <w:rsid w:val="001E61DF"/>
    <w:rsid w:val="001F2B9F"/>
    <w:rsid w:val="001F5954"/>
    <w:rsid w:val="00202DD3"/>
    <w:rsid w:val="00206E7D"/>
    <w:rsid w:val="002142DA"/>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E05E2"/>
    <w:rsid w:val="002E2DD6"/>
    <w:rsid w:val="002E3F28"/>
    <w:rsid w:val="002F0E52"/>
    <w:rsid w:val="002F2274"/>
    <w:rsid w:val="002F2405"/>
    <w:rsid w:val="002F690F"/>
    <w:rsid w:val="002F6F10"/>
    <w:rsid w:val="0030301F"/>
    <w:rsid w:val="00303B21"/>
    <w:rsid w:val="00313701"/>
    <w:rsid w:val="00314430"/>
    <w:rsid w:val="00316188"/>
    <w:rsid w:val="003171AF"/>
    <w:rsid w:val="00317469"/>
    <w:rsid w:val="0032215C"/>
    <w:rsid w:val="0032616B"/>
    <w:rsid w:val="00326687"/>
    <w:rsid w:val="003275F9"/>
    <w:rsid w:val="003355AC"/>
    <w:rsid w:val="00343D6B"/>
    <w:rsid w:val="00344982"/>
    <w:rsid w:val="00347FB5"/>
    <w:rsid w:val="00355515"/>
    <w:rsid w:val="003608B5"/>
    <w:rsid w:val="003613AF"/>
    <w:rsid w:val="003663B5"/>
    <w:rsid w:val="00376298"/>
    <w:rsid w:val="003878C1"/>
    <w:rsid w:val="00396C0B"/>
    <w:rsid w:val="003A1FA9"/>
    <w:rsid w:val="003A630F"/>
    <w:rsid w:val="003B21B8"/>
    <w:rsid w:val="003B3958"/>
    <w:rsid w:val="003B4820"/>
    <w:rsid w:val="003B5F4B"/>
    <w:rsid w:val="003B682F"/>
    <w:rsid w:val="003C53FC"/>
    <w:rsid w:val="003C7013"/>
    <w:rsid w:val="003D641B"/>
    <w:rsid w:val="003F11EF"/>
    <w:rsid w:val="003F227C"/>
    <w:rsid w:val="003F4369"/>
    <w:rsid w:val="004023CC"/>
    <w:rsid w:val="00407564"/>
    <w:rsid w:val="00411152"/>
    <w:rsid w:val="004156AA"/>
    <w:rsid w:val="00416725"/>
    <w:rsid w:val="00421859"/>
    <w:rsid w:val="004253A1"/>
    <w:rsid w:val="004260CF"/>
    <w:rsid w:val="004313B6"/>
    <w:rsid w:val="00433339"/>
    <w:rsid w:val="00436159"/>
    <w:rsid w:val="00442AAA"/>
    <w:rsid w:val="00446BBC"/>
    <w:rsid w:val="004472C0"/>
    <w:rsid w:val="00447FD9"/>
    <w:rsid w:val="00450705"/>
    <w:rsid w:val="00451928"/>
    <w:rsid w:val="00463170"/>
    <w:rsid w:val="0046618B"/>
    <w:rsid w:val="00481639"/>
    <w:rsid w:val="0048608C"/>
    <w:rsid w:val="00496E57"/>
    <w:rsid w:val="004A41E9"/>
    <w:rsid w:val="004B3E10"/>
    <w:rsid w:val="004B7CD4"/>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90652"/>
    <w:rsid w:val="0059235F"/>
    <w:rsid w:val="00596936"/>
    <w:rsid w:val="005A2F1E"/>
    <w:rsid w:val="005A4232"/>
    <w:rsid w:val="005C3616"/>
    <w:rsid w:val="005D35D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80BAE"/>
    <w:rsid w:val="00693152"/>
    <w:rsid w:val="00694FAE"/>
    <w:rsid w:val="00696E3A"/>
    <w:rsid w:val="006A0834"/>
    <w:rsid w:val="006A4A1A"/>
    <w:rsid w:val="006A4BBD"/>
    <w:rsid w:val="006A52F1"/>
    <w:rsid w:val="006B561D"/>
    <w:rsid w:val="006B6D5D"/>
    <w:rsid w:val="006D2330"/>
    <w:rsid w:val="006E02DA"/>
    <w:rsid w:val="006E0F8B"/>
    <w:rsid w:val="006E12F7"/>
    <w:rsid w:val="006E29D7"/>
    <w:rsid w:val="006F7598"/>
    <w:rsid w:val="007068A4"/>
    <w:rsid w:val="00706D67"/>
    <w:rsid w:val="00713052"/>
    <w:rsid w:val="00721367"/>
    <w:rsid w:val="007231FA"/>
    <w:rsid w:val="00732C67"/>
    <w:rsid w:val="00734418"/>
    <w:rsid w:val="00736A52"/>
    <w:rsid w:val="00757826"/>
    <w:rsid w:val="00761833"/>
    <w:rsid w:val="007632B7"/>
    <w:rsid w:val="0076382F"/>
    <w:rsid w:val="00765768"/>
    <w:rsid w:val="00765D10"/>
    <w:rsid w:val="00766AC8"/>
    <w:rsid w:val="00767486"/>
    <w:rsid w:val="0077070E"/>
    <w:rsid w:val="0077296A"/>
    <w:rsid w:val="007756DD"/>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1512"/>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1097"/>
    <w:rsid w:val="00953C1E"/>
    <w:rsid w:val="00954131"/>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C6E95"/>
    <w:rsid w:val="009C724E"/>
    <w:rsid w:val="009D2057"/>
    <w:rsid w:val="009D3D6C"/>
    <w:rsid w:val="009D5551"/>
    <w:rsid w:val="009D62DB"/>
    <w:rsid w:val="009E3B42"/>
    <w:rsid w:val="00A04016"/>
    <w:rsid w:val="00A04204"/>
    <w:rsid w:val="00A04A68"/>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91779"/>
    <w:rsid w:val="00AA70AB"/>
    <w:rsid w:val="00AB0B9F"/>
    <w:rsid w:val="00AB1713"/>
    <w:rsid w:val="00AB63BE"/>
    <w:rsid w:val="00AC1EBC"/>
    <w:rsid w:val="00AC2599"/>
    <w:rsid w:val="00AC2DE9"/>
    <w:rsid w:val="00AD0F62"/>
    <w:rsid w:val="00AD2C5F"/>
    <w:rsid w:val="00AE1481"/>
    <w:rsid w:val="00AE27F9"/>
    <w:rsid w:val="00AE77DB"/>
    <w:rsid w:val="00AF7453"/>
    <w:rsid w:val="00B00FFF"/>
    <w:rsid w:val="00B04A72"/>
    <w:rsid w:val="00B06084"/>
    <w:rsid w:val="00B16735"/>
    <w:rsid w:val="00B173CD"/>
    <w:rsid w:val="00B17EDE"/>
    <w:rsid w:val="00B22585"/>
    <w:rsid w:val="00B254AF"/>
    <w:rsid w:val="00B33693"/>
    <w:rsid w:val="00B34C53"/>
    <w:rsid w:val="00B507A5"/>
    <w:rsid w:val="00B52475"/>
    <w:rsid w:val="00B535DA"/>
    <w:rsid w:val="00B56DCC"/>
    <w:rsid w:val="00B56F54"/>
    <w:rsid w:val="00B638C2"/>
    <w:rsid w:val="00B7064A"/>
    <w:rsid w:val="00B758AB"/>
    <w:rsid w:val="00B76277"/>
    <w:rsid w:val="00B772AB"/>
    <w:rsid w:val="00B80395"/>
    <w:rsid w:val="00B80B56"/>
    <w:rsid w:val="00B81E1B"/>
    <w:rsid w:val="00B86372"/>
    <w:rsid w:val="00BA1C17"/>
    <w:rsid w:val="00BA1D65"/>
    <w:rsid w:val="00BB3B4D"/>
    <w:rsid w:val="00BC351E"/>
    <w:rsid w:val="00BC3F77"/>
    <w:rsid w:val="00BC5635"/>
    <w:rsid w:val="00BC5675"/>
    <w:rsid w:val="00BD081C"/>
    <w:rsid w:val="00BD277B"/>
    <w:rsid w:val="00BD347E"/>
    <w:rsid w:val="00BD47CA"/>
    <w:rsid w:val="00BD4DC4"/>
    <w:rsid w:val="00BD62C7"/>
    <w:rsid w:val="00BE020D"/>
    <w:rsid w:val="00BE354A"/>
    <w:rsid w:val="00BF3ECC"/>
    <w:rsid w:val="00BF5EEF"/>
    <w:rsid w:val="00C02553"/>
    <w:rsid w:val="00C03299"/>
    <w:rsid w:val="00C04EB6"/>
    <w:rsid w:val="00C056F9"/>
    <w:rsid w:val="00C1018C"/>
    <w:rsid w:val="00C1150E"/>
    <w:rsid w:val="00C14D52"/>
    <w:rsid w:val="00C2586C"/>
    <w:rsid w:val="00C26001"/>
    <w:rsid w:val="00C34E72"/>
    <w:rsid w:val="00C45C34"/>
    <w:rsid w:val="00C5502D"/>
    <w:rsid w:val="00C56B1F"/>
    <w:rsid w:val="00C61B52"/>
    <w:rsid w:val="00C62745"/>
    <w:rsid w:val="00C654CA"/>
    <w:rsid w:val="00C722C9"/>
    <w:rsid w:val="00C763BD"/>
    <w:rsid w:val="00C779A8"/>
    <w:rsid w:val="00C82E19"/>
    <w:rsid w:val="00C96873"/>
    <w:rsid w:val="00CA1735"/>
    <w:rsid w:val="00CA3C4B"/>
    <w:rsid w:val="00CA7252"/>
    <w:rsid w:val="00CB2C5A"/>
    <w:rsid w:val="00CD55BB"/>
    <w:rsid w:val="00CE0C1C"/>
    <w:rsid w:val="00CE34AF"/>
    <w:rsid w:val="00CF00A4"/>
    <w:rsid w:val="00CF25FB"/>
    <w:rsid w:val="00CF614C"/>
    <w:rsid w:val="00D02F34"/>
    <w:rsid w:val="00D13D87"/>
    <w:rsid w:val="00D16590"/>
    <w:rsid w:val="00D20720"/>
    <w:rsid w:val="00D250D9"/>
    <w:rsid w:val="00D264FA"/>
    <w:rsid w:val="00D27533"/>
    <w:rsid w:val="00D42DA3"/>
    <w:rsid w:val="00D4546D"/>
    <w:rsid w:val="00D47996"/>
    <w:rsid w:val="00D61118"/>
    <w:rsid w:val="00D614F1"/>
    <w:rsid w:val="00D70D50"/>
    <w:rsid w:val="00D71917"/>
    <w:rsid w:val="00D92227"/>
    <w:rsid w:val="00D95D03"/>
    <w:rsid w:val="00DA3A0F"/>
    <w:rsid w:val="00DA4E62"/>
    <w:rsid w:val="00DA6990"/>
    <w:rsid w:val="00DB27BA"/>
    <w:rsid w:val="00DB337A"/>
    <w:rsid w:val="00DC51CB"/>
    <w:rsid w:val="00DC79E7"/>
    <w:rsid w:val="00DD4819"/>
    <w:rsid w:val="00DD4B8A"/>
    <w:rsid w:val="00DD5403"/>
    <w:rsid w:val="00DE1388"/>
    <w:rsid w:val="00DE7501"/>
    <w:rsid w:val="00DF3146"/>
    <w:rsid w:val="00DF57C3"/>
    <w:rsid w:val="00DF5AB6"/>
    <w:rsid w:val="00E008D9"/>
    <w:rsid w:val="00E0095A"/>
    <w:rsid w:val="00E02FE0"/>
    <w:rsid w:val="00E07ABE"/>
    <w:rsid w:val="00E11A3F"/>
    <w:rsid w:val="00E1386E"/>
    <w:rsid w:val="00E2369B"/>
    <w:rsid w:val="00E23EC0"/>
    <w:rsid w:val="00E34158"/>
    <w:rsid w:val="00E354AA"/>
    <w:rsid w:val="00E43D54"/>
    <w:rsid w:val="00E442FB"/>
    <w:rsid w:val="00E529DB"/>
    <w:rsid w:val="00E53A5E"/>
    <w:rsid w:val="00E565FF"/>
    <w:rsid w:val="00E6466A"/>
    <w:rsid w:val="00E72221"/>
    <w:rsid w:val="00E83428"/>
    <w:rsid w:val="00E84C58"/>
    <w:rsid w:val="00E873A5"/>
    <w:rsid w:val="00E90D11"/>
    <w:rsid w:val="00E915E5"/>
    <w:rsid w:val="00EB0367"/>
    <w:rsid w:val="00EB4FB9"/>
    <w:rsid w:val="00EB5BC8"/>
    <w:rsid w:val="00EC2738"/>
    <w:rsid w:val="00EC6EA0"/>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6E28"/>
    <w:rsid w:val="00F4790C"/>
    <w:rsid w:val="00F50C4B"/>
    <w:rsid w:val="00F54C08"/>
    <w:rsid w:val="00F553A2"/>
    <w:rsid w:val="00F6068C"/>
    <w:rsid w:val="00F62F33"/>
    <w:rsid w:val="00F63A52"/>
    <w:rsid w:val="00F730BA"/>
    <w:rsid w:val="00F80E20"/>
    <w:rsid w:val="00F8560F"/>
    <w:rsid w:val="00F903BE"/>
    <w:rsid w:val="00F95D04"/>
    <w:rsid w:val="00FA16EC"/>
    <w:rsid w:val="00FA2811"/>
    <w:rsid w:val="00FA2CFB"/>
    <w:rsid w:val="00FA4837"/>
    <w:rsid w:val="00FB1D33"/>
    <w:rsid w:val="00FB5E96"/>
    <w:rsid w:val="00FC008C"/>
    <w:rsid w:val="00FC05A0"/>
    <w:rsid w:val="00FC6758"/>
    <w:rsid w:val="00FD3014"/>
    <w:rsid w:val="00FD34EA"/>
    <w:rsid w:val="00FE3F3E"/>
    <w:rsid w:val="00FE4D52"/>
    <w:rsid w:val="00FE5AEE"/>
    <w:rsid w:val="00FF0656"/>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A04204"/>
    <w:rPr>
      <w:sz w:val="16"/>
      <w:szCs w:val="16"/>
    </w:rPr>
  </w:style>
  <w:style w:type="paragraph" w:styleId="CommentSubject">
    <w:name w:val="annotation subject"/>
    <w:basedOn w:val="CommentText"/>
    <w:next w:val="CommentText"/>
    <w:link w:val="CommentSubjectChar"/>
    <w:uiPriority w:val="99"/>
    <w:semiHidden/>
    <w:unhideWhenUsed/>
    <w:rsid w:val="00A04204"/>
    <w:rPr>
      <w:b/>
      <w:bCs/>
    </w:rPr>
  </w:style>
  <w:style w:type="character" w:customStyle="1" w:styleId="CommentTextChar">
    <w:name w:val="Comment Text Char"/>
    <w:basedOn w:val="DefaultParagraphFont"/>
    <w:link w:val="CommentText"/>
    <w:semiHidden/>
    <w:rsid w:val="00A04204"/>
    <w:rPr>
      <w:rFonts w:ascii="Arial" w:hAnsi="Arial"/>
    </w:rPr>
  </w:style>
  <w:style w:type="character" w:customStyle="1" w:styleId="CommentSubjectChar">
    <w:name w:val="Comment Subject Char"/>
    <w:basedOn w:val="CommentTextChar"/>
    <w:link w:val="CommentSubject"/>
    <w:uiPriority w:val="99"/>
    <w:semiHidden/>
    <w:rsid w:val="00A04204"/>
    <w:rPr>
      <w:rFonts w:ascii="Arial" w:hAnsi="Arial"/>
      <w:b/>
      <w:bCs/>
    </w:rPr>
  </w:style>
  <w:style w:type="paragraph" w:styleId="Revision">
    <w:name w:val="Revision"/>
    <w:hidden/>
    <w:uiPriority w:val="99"/>
    <w:semiHidden/>
    <w:rsid w:val="004A41E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pdf/atopic-dermatitis-agents-immunomodulators-pdl-ed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ydss.mo.gov/media/pdf/atopic-dermatitis-agents-immunomodulators-pdl-ed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dss.mo.gov/media/pdf/atopic-dermatitis-agents-immunomodulators-pdl-ed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edia/pdf/atopic-dermatitis-agents-immunomodulators-pdl-edit"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aba01ddc-ae9a-4c9e-819c-7140b4239cde"/>
    <ds:schemaRef ds:uri="http://www.w3.org/XML/1998/namespace"/>
  </ds:schemaRefs>
</ds:datastoreItem>
</file>

<file path=customXml/itemProps4.xml><?xml version="1.0" encoding="utf-8"?>
<ds:datastoreItem xmlns:ds="http://schemas.openxmlformats.org/officeDocument/2006/customXml" ds:itemID="{400834AD-9022-4636-B9D5-57841F52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931</Words>
  <Characters>5672</Characters>
  <Application>Microsoft Office Word</Application>
  <DocSecurity>10</DocSecurity>
  <Lines>47</Lines>
  <Paragraphs>13</Paragraphs>
  <ScaleCrop>false</ScaleCrop>
  <HeadingPairs>
    <vt:vector size="2" baseType="variant">
      <vt:variant>
        <vt:lpstr>Title</vt:lpstr>
      </vt:variant>
      <vt:variant>
        <vt:i4>1</vt:i4>
      </vt:variant>
    </vt:vector>
  </HeadingPairs>
  <TitlesOfParts>
    <vt:vector size="1" baseType="lpstr">
      <vt:lpstr>Vit D Analog Top PDL</vt:lpstr>
    </vt:vector>
  </TitlesOfParts>
  <Company>DSS</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 D Analog Top PDL</dc:title>
  <dc:creator>DMS</dc:creator>
  <cp:lastModifiedBy>Heriford, Katherine</cp:lastModifiedBy>
  <cp:revision>56</cp:revision>
  <cp:lastPrinted>2018-10-31T20:17:00Z</cp:lastPrinted>
  <dcterms:created xsi:type="dcterms:W3CDTF">2025-09-19T16:48:00Z</dcterms:created>
  <dcterms:modified xsi:type="dcterms:W3CDTF">2026-07-07T12:15:00Z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