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1E7032DD" w:rsidR="004C5767" w:rsidRPr="00051FD0" w:rsidRDefault="004C5767" w:rsidP="00D27533">
      <w:pPr>
        <w:pStyle w:val="tbody"/>
        <w:rPr>
          <w:b w:val="0"/>
          <w:bCs/>
        </w:rPr>
      </w:pPr>
      <w:r w:rsidRPr="00C02553">
        <w:t>Drug/Drug Class:</w:t>
      </w:r>
      <w:r w:rsidR="003B4820">
        <w:t xml:space="preserve"> </w:t>
      </w:r>
      <w:proofErr w:type="spellStart"/>
      <w:r w:rsidR="00A57F3C" w:rsidRPr="00A57F3C">
        <w:rPr>
          <w:b w:val="0"/>
          <w:bCs/>
        </w:rPr>
        <w:t>Tepezza</w:t>
      </w:r>
      <w:proofErr w:type="spellEnd"/>
      <w:r w:rsidR="00A57F3C" w:rsidRPr="00A57F3C">
        <w:rPr>
          <w:b w:val="0"/>
          <w:bCs/>
        </w:rPr>
        <w:t xml:space="preserve"> Clinical Edit</w:t>
      </w:r>
    </w:p>
    <w:p w14:paraId="7AD7FFCE" w14:textId="02808F39" w:rsidR="004C5767" w:rsidRPr="00051FD0" w:rsidRDefault="004C5767" w:rsidP="00D27533">
      <w:pPr>
        <w:pStyle w:val="tbody"/>
        <w:rPr>
          <w:b w:val="0"/>
          <w:bCs/>
        </w:rPr>
      </w:pPr>
      <w:r w:rsidRPr="00C02553">
        <w:t xml:space="preserve">First Implementation Date: </w:t>
      </w:r>
      <w:r w:rsidR="00C56A69" w:rsidRPr="00C56A69">
        <w:rPr>
          <w:b w:val="0"/>
          <w:bCs/>
        </w:rPr>
        <w:t>October 1, 2020</w:t>
      </w:r>
    </w:p>
    <w:p w14:paraId="4B7D760D" w14:textId="4B647F9E" w:rsidR="004C5767" w:rsidRPr="00D232D9" w:rsidRDefault="00D95E68" w:rsidP="15EB50BA">
      <w:pPr>
        <w:pStyle w:val="tbody"/>
        <w:rPr>
          <w:b w:val="0"/>
        </w:rPr>
      </w:pPr>
      <w:r>
        <w:t>Proposed</w:t>
      </w:r>
      <w:r w:rsidR="004C5767">
        <w:t xml:space="preserve"> Date:</w:t>
      </w:r>
      <w:r w:rsidR="00065C22">
        <w:t xml:space="preserve"> </w:t>
      </w:r>
      <w:r w:rsidR="00F62763">
        <w:rPr>
          <w:b w:val="0"/>
        </w:rPr>
        <w:t>July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9032054" w:rsidR="004C5767" w:rsidRPr="00D27533" w:rsidRDefault="004C5767" w:rsidP="00D27533">
      <w:pPr>
        <w:pStyle w:val="tbody"/>
        <w:rPr>
          <w:b w:val="0"/>
          <w:bCs/>
          <w:spacing w:val="-3"/>
        </w:rPr>
      </w:pPr>
      <w:r w:rsidRPr="00C02553">
        <w:t xml:space="preserve">Criteria Status: </w:t>
      </w:r>
      <w:r w:rsidR="00566BE4" w:rsidRPr="00C56A69">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2CE02648" w:rsidR="00D47996" w:rsidRDefault="79EEA449" w:rsidP="00696E3A">
      <w:r>
        <w:t>Ensure appropriate utilization and control of</w:t>
      </w:r>
      <w:r w:rsidR="00D47996">
        <w:t xml:space="preserve"> </w:t>
      </w:r>
      <w:proofErr w:type="spellStart"/>
      <w:r w:rsidR="00852BE2">
        <w:rPr>
          <w:rFonts w:cs="Arial"/>
          <w:spacing w:val="-3"/>
        </w:rPr>
        <w:t>Tepezza</w:t>
      </w:r>
      <w:proofErr w:type="spellEnd"/>
      <w:r w:rsidR="00852BE2" w:rsidRPr="00E022E3">
        <w:rPr>
          <w:rFonts w:cs="Arial"/>
          <w:spacing w:val="-3"/>
          <w:vertAlign w:val="superscript"/>
        </w:rPr>
        <w:t>®</w:t>
      </w:r>
      <w:r w:rsidR="00852BE2">
        <w:rPr>
          <w:rFonts w:cs="Arial"/>
          <w:spacing w:val="-3"/>
        </w:rPr>
        <w:t xml:space="preserve"> </w:t>
      </w:r>
      <w:r w:rsidR="00852BE2" w:rsidRPr="003D2F52">
        <w:rPr>
          <w:rFonts w:cs="Arial"/>
          <w:spacing w:val="-3"/>
        </w:rPr>
        <w:t>(teprotumumab-</w:t>
      </w:r>
      <w:proofErr w:type="spellStart"/>
      <w:r w:rsidR="00852BE2" w:rsidRPr="003D2F52">
        <w:rPr>
          <w:rFonts w:cs="Arial"/>
          <w:spacing w:val="-3"/>
        </w:rPr>
        <w:t>trbw</w:t>
      </w:r>
      <w:proofErr w:type="spellEnd"/>
      <w:r w:rsidR="00852BE2" w:rsidRPr="003D2F52">
        <w:rPr>
          <w:rFonts w:cs="Arial"/>
          <w:spacing w:val="-3"/>
        </w:rPr>
        <w:t>)</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21A0A580" w:rsidR="00B56DCC" w:rsidRDefault="00FF0B0E" w:rsidP="00696E3A">
      <w:proofErr w:type="spellStart"/>
      <w:r w:rsidRPr="00FF0B0E">
        <w:t>Tepezza</w:t>
      </w:r>
      <w:proofErr w:type="spellEnd"/>
      <w:r w:rsidRPr="009D7A12">
        <w:rPr>
          <w:vertAlign w:val="superscript"/>
        </w:rPr>
        <w:t>®</w:t>
      </w:r>
      <w:r w:rsidRPr="00FF0B0E">
        <w:t xml:space="preserve"> (teprotumumab-</w:t>
      </w:r>
      <w:proofErr w:type="spellStart"/>
      <w:r w:rsidRPr="00FF0B0E">
        <w:t>trbw</w:t>
      </w:r>
      <w:proofErr w:type="spellEnd"/>
      <w:r w:rsidRPr="00FF0B0E">
        <w:t xml:space="preserve">) was FDA approved on January 21, 2020, in adults for the treatment of thyroid eye disease (TED), also known as Graves’ orbitopathy.  </w:t>
      </w:r>
      <w:proofErr w:type="spellStart"/>
      <w:r w:rsidRPr="00FF0B0E">
        <w:t>Tepezza</w:t>
      </w:r>
      <w:proofErr w:type="spellEnd"/>
      <w:r w:rsidRPr="00FF0B0E">
        <w:t xml:space="preserve"> is an insulin-like growth factor-1 (IGF-1) receptor inhibitor; it is believed that immunoglobulins signal insulin-like growth factor in patients with Graves’ disease. TED is a rare condition where the muscles and fatty tissues behind the eye become inflamed, causing the eyes to be pushed forward and bulge outwards (proptosis). Proptosis is often accompanied by pain and diplopia and in some cases, facial disfigurement. Blindness has been reported in severe cases, and the disease can have negative impacts on quality of life.  It is believed there are 15,000-20,000 individuals in the United States with TED.  Roughly 90% of TED patients have Graves’ disease, and 40% of Graves’ disease patients have TED. On April 14, 2023, </w:t>
      </w:r>
      <w:proofErr w:type="spellStart"/>
      <w:r w:rsidRPr="00FF0B0E">
        <w:t>Tepezza</w:t>
      </w:r>
      <w:proofErr w:type="spellEnd"/>
      <w:r w:rsidRPr="00FF0B0E">
        <w:t xml:space="preserve"> received an expanded indication for treatment of all patients with TED of any activity or duration, rather than only those patients with acute disease manifestations. </w:t>
      </w:r>
      <w:proofErr w:type="spellStart"/>
      <w:r w:rsidRPr="00FF0B0E">
        <w:t>Tepezza</w:t>
      </w:r>
      <w:proofErr w:type="spellEnd"/>
      <w:r w:rsidRPr="00FF0B0E">
        <w:t xml:space="preserve"> is given as an outpatient infusion for 8 total doses; dosing is initiated with 10 mg/kg for the first infusion followed by 20 mg/kg every 3 weeks for a total of 8 doses over 24 weeks. Re-treatment is not currently supported by clinical data.  </w:t>
      </w:r>
      <w:proofErr w:type="spellStart"/>
      <w:r w:rsidRPr="00FF0B0E">
        <w:t>Tepezza’s</w:t>
      </w:r>
      <w:proofErr w:type="spellEnd"/>
      <w:r w:rsidRPr="00FF0B0E">
        <w:t xml:space="preserve"> label includes several warnings, including exacerbation of preexisting inflammatory bowel disease, hyperglycemia, hearing loss, and fetal harm in pregnant women. Due to the possible adverse events and specific approved indications, MO HealthNet will impose clinical criteria to ensure appropriate utilization of </w:t>
      </w:r>
      <w:proofErr w:type="spellStart"/>
      <w:r w:rsidRPr="00FF0B0E">
        <w:t>Tepezza</w:t>
      </w:r>
      <w:proofErr w:type="spellEnd"/>
      <w:r w:rsidRPr="00FF0B0E">
        <w:t>.</w:t>
      </w:r>
    </w:p>
    <w:p w14:paraId="7B87FE59" w14:textId="77777777" w:rsidR="00FF0B0E" w:rsidRDefault="00FF0B0E" w:rsidP="00696E3A"/>
    <w:p w14:paraId="5B5260CF" w14:textId="5E9143EC" w:rsidR="003D4704" w:rsidRPr="00AD17B7" w:rsidRDefault="003D4704" w:rsidP="003D4704">
      <w:r>
        <w:rPr>
          <w:b/>
          <w:bCs/>
        </w:rPr>
        <w:t xml:space="preserve">Program-Specific Information: </w:t>
      </w:r>
      <w:r>
        <w:t>Dat</w:t>
      </w:r>
      <w:r w:rsidR="00ED760F">
        <w:t>e</w:t>
      </w:r>
      <w:r>
        <w:t xml:space="preserve"> Ranges FFS </w:t>
      </w:r>
      <w:r w:rsidR="00F62763">
        <w:t>4-1</w:t>
      </w:r>
      <w:r>
        <w:t>-202</w:t>
      </w:r>
      <w:r w:rsidR="00F62763">
        <w:t>5</w:t>
      </w:r>
      <w:r>
        <w:t xml:space="preserve"> to </w:t>
      </w:r>
      <w:r w:rsidR="00F62763">
        <w:t>3</w:t>
      </w:r>
      <w:r>
        <w:t>-3</w:t>
      </w:r>
      <w:r w:rsidR="00F62763">
        <w:t>1</w:t>
      </w:r>
      <w:r>
        <w:t>-202</w:t>
      </w:r>
      <w:r w:rsidR="00F62763">
        <w:t>6</w:t>
      </w:r>
    </w:p>
    <w:tbl>
      <w:tblPr>
        <w:tblW w:w="9810" w:type="dxa"/>
        <w:jc w:val="center"/>
        <w:tblLayout w:type="fixed"/>
        <w:tblLook w:val="04A0" w:firstRow="1" w:lastRow="0" w:firstColumn="1" w:lastColumn="0" w:noHBand="0" w:noVBand="1"/>
      </w:tblPr>
      <w:tblGrid>
        <w:gridCol w:w="3239"/>
        <w:gridCol w:w="1784"/>
        <w:gridCol w:w="1115"/>
        <w:gridCol w:w="2118"/>
        <w:gridCol w:w="1554"/>
      </w:tblGrid>
      <w:tr w:rsidR="0052185A" w:rsidRPr="00611227" w14:paraId="15AEB001" w14:textId="77777777" w:rsidTr="00F333F5">
        <w:trPr>
          <w:trHeight w:val="20"/>
          <w:jc w:val="center"/>
        </w:trPr>
        <w:tc>
          <w:tcPr>
            <w:tcW w:w="323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A9352F7" w14:textId="77777777" w:rsidR="0052185A" w:rsidRPr="00611227" w:rsidRDefault="0052185A" w:rsidP="009C7D48">
            <w:pPr>
              <w:jc w:val="center"/>
              <w:rPr>
                <w:rFonts w:cs="Arial"/>
                <w:b/>
                <w:spacing w:val="-3"/>
                <w:szCs w:val="20"/>
              </w:rPr>
            </w:pPr>
            <w:r w:rsidRPr="00611227">
              <w:rPr>
                <w:rFonts w:cs="Arial"/>
                <w:b/>
                <w:spacing w:val="-3"/>
                <w:szCs w:val="20"/>
              </w:rPr>
              <w:t>Drug</w:t>
            </w:r>
          </w:p>
        </w:tc>
        <w:tc>
          <w:tcPr>
            <w:tcW w:w="178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0E2CA1D" w14:textId="77777777" w:rsidR="0052185A" w:rsidRPr="00611227" w:rsidRDefault="0052185A" w:rsidP="009C7D48">
            <w:pPr>
              <w:jc w:val="center"/>
              <w:rPr>
                <w:rFonts w:cs="Arial"/>
                <w:b/>
                <w:spacing w:val="-3"/>
                <w:szCs w:val="20"/>
              </w:rPr>
            </w:pPr>
            <w:r w:rsidRPr="00611227">
              <w:rPr>
                <w:rFonts w:cs="Arial"/>
                <w:b/>
                <w:spacing w:val="-3"/>
                <w:szCs w:val="20"/>
              </w:rPr>
              <w:t>Participants</w:t>
            </w:r>
          </w:p>
        </w:tc>
        <w:tc>
          <w:tcPr>
            <w:tcW w:w="111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7708218" w14:textId="77777777" w:rsidR="0052185A" w:rsidRPr="00611227" w:rsidRDefault="0052185A" w:rsidP="009C7D48">
            <w:pPr>
              <w:jc w:val="center"/>
              <w:rPr>
                <w:rFonts w:cs="Arial"/>
                <w:b/>
                <w:spacing w:val="-3"/>
                <w:szCs w:val="20"/>
              </w:rPr>
            </w:pPr>
            <w:r w:rsidRPr="00611227">
              <w:rPr>
                <w:rFonts w:cs="Arial"/>
                <w:b/>
                <w:spacing w:val="-3"/>
                <w:szCs w:val="20"/>
              </w:rPr>
              <w:t>Claims</w:t>
            </w:r>
          </w:p>
        </w:tc>
        <w:tc>
          <w:tcPr>
            <w:tcW w:w="211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3B981B" w14:textId="77777777" w:rsidR="0052185A" w:rsidRPr="00611227" w:rsidRDefault="0052185A" w:rsidP="009C7D48">
            <w:pPr>
              <w:jc w:val="center"/>
              <w:rPr>
                <w:rFonts w:cs="Arial"/>
                <w:b/>
                <w:spacing w:val="-3"/>
                <w:szCs w:val="20"/>
              </w:rPr>
            </w:pPr>
            <w:r w:rsidRPr="00611227">
              <w:rPr>
                <w:rFonts w:cs="Arial"/>
                <w:b/>
                <w:spacing w:val="-3"/>
                <w:szCs w:val="20"/>
              </w:rPr>
              <w:t>Spend</w:t>
            </w:r>
          </w:p>
        </w:tc>
        <w:tc>
          <w:tcPr>
            <w:tcW w:w="155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346FEED" w14:textId="77777777" w:rsidR="0052185A" w:rsidRPr="00611227" w:rsidRDefault="0052185A" w:rsidP="009C7D48">
            <w:pPr>
              <w:jc w:val="center"/>
              <w:rPr>
                <w:rFonts w:cs="Arial"/>
                <w:b/>
                <w:spacing w:val="-3"/>
                <w:szCs w:val="20"/>
              </w:rPr>
            </w:pPr>
            <w:r w:rsidRPr="00611227">
              <w:rPr>
                <w:rFonts w:cs="Arial"/>
                <w:b/>
                <w:spacing w:val="-3"/>
                <w:szCs w:val="20"/>
              </w:rPr>
              <w:t>Avg Spend per Claim</w:t>
            </w:r>
          </w:p>
        </w:tc>
      </w:tr>
      <w:tr w:rsidR="00F333F5" w:rsidRPr="00611227" w14:paraId="55731FD4" w14:textId="77777777" w:rsidTr="00B15F4F">
        <w:trPr>
          <w:trHeight w:val="20"/>
          <w:jc w:val="center"/>
        </w:trPr>
        <w:tc>
          <w:tcPr>
            <w:tcW w:w="3239" w:type="dxa"/>
            <w:tcBorders>
              <w:top w:val="single" w:sz="4" w:space="0" w:color="auto"/>
              <w:left w:val="single" w:sz="4" w:space="0" w:color="auto"/>
              <w:bottom w:val="single" w:sz="4" w:space="0" w:color="auto"/>
              <w:right w:val="single" w:sz="4" w:space="0" w:color="auto"/>
            </w:tcBorders>
            <w:vAlign w:val="center"/>
          </w:tcPr>
          <w:p w14:paraId="69A2E20A" w14:textId="77777777" w:rsidR="00F333F5" w:rsidRPr="00611227" w:rsidRDefault="00F333F5" w:rsidP="00F333F5">
            <w:pPr>
              <w:jc w:val="center"/>
              <w:rPr>
                <w:rFonts w:cs="Arial"/>
                <w:caps/>
                <w:spacing w:val="-3"/>
                <w:szCs w:val="20"/>
              </w:rPr>
            </w:pPr>
            <w:r w:rsidRPr="00611227">
              <w:rPr>
                <w:rFonts w:cs="Arial"/>
                <w:caps/>
                <w:spacing w:val="-3"/>
                <w:szCs w:val="20"/>
              </w:rPr>
              <w:t>Tepezza 500 mg vial</w:t>
            </w:r>
          </w:p>
        </w:tc>
        <w:tc>
          <w:tcPr>
            <w:tcW w:w="1784" w:type="dxa"/>
            <w:tcBorders>
              <w:top w:val="single" w:sz="4" w:space="0" w:color="auto"/>
              <w:left w:val="single" w:sz="4" w:space="0" w:color="auto"/>
              <w:bottom w:val="single" w:sz="4" w:space="0" w:color="auto"/>
              <w:right w:val="single" w:sz="4" w:space="0" w:color="auto"/>
            </w:tcBorders>
            <w:vAlign w:val="center"/>
          </w:tcPr>
          <w:p w14:paraId="28C68502" w14:textId="7C245908" w:rsidR="00F333F5" w:rsidRPr="00611227" w:rsidRDefault="00B15F4F" w:rsidP="00F333F5">
            <w:pPr>
              <w:jc w:val="center"/>
              <w:rPr>
                <w:rFonts w:cs="Arial"/>
                <w:caps/>
                <w:spacing w:val="-3"/>
                <w:szCs w:val="20"/>
              </w:rPr>
            </w:pPr>
            <w:r>
              <w:rPr>
                <w:rFonts w:cs="Arial"/>
                <w:caps/>
                <w:spacing w:val="-3"/>
                <w:szCs w:val="20"/>
              </w:rPr>
              <w:t>3</w:t>
            </w:r>
          </w:p>
        </w:tc>
        <w:tc>
          <w:tcPr>
            <w:tcW w:w="1115" w:type="dxa"/>
            <w:tcBorders>
              <w:top w:val="single" w:sz="4" w:space="0" w:color="auto"/>
              <w:left w:val="single" w:sz="4" w:space="0" w:color="ABABAB"/>
              <w:bottom w:val="single" w:sz="4" w:space="0" w:color="auto"/>
              <w:right w:val="single" w:sz="4" w:space="0" w:color="auto"/>
            </w:tcBorders>
            <w:vAlign w:val="bottom"/>
          </w:tcPr>
          <w:p w14:paraId="62E95C5D" w14:textId="0FC3F92A" w:rsidR="00F333F5" w:rsidRPr="00611227" w:rsidRDefault="00F333F5" w:rsidP="00F333F5">
            <w:pPr>
              <w:jc w:val="center"/>
              <w:rPr>
                <w:rFonts w:cs="Arial"/>
                <w:spacing w:val="-3"/>
                <w:szCs w:val="20"/>
              </w:rPr>
            </w:pPr>
            <w:r>
              <w:rPr>
                <w:rFonts w:cs="Arial"/>
                <w:szCs w:val="20"/>
              </w:rPr>
              <w:t>16</w:t>
            </w:r>
          </w:p>
        </w:tc>
        <w:tc>
          <w:tcPr>
            <w:tcW w:w="2118" w:type="dxa"/>
            <w:tcBorders>
              <w:top w:val="single" w:sz="4" w:space="0" w:color="auto"/>
              <w:left w:val="single" w:sz="4" w:space="0" w:color="auto"/>
              <w:bottom w:val="single" w:sz="4" w:space="0" w:color="auto"/>
              <w:right w:val="single" w:sz="4" w:space="0" w:color="auto"/>
            </w:tcBorders>
            <w:vAlign w:val="bottom"/>
          </w:tcPr>
          <w:p w14:paraId="2D89564B" w14:textId="1CE37D87" w:rsidR="00F333F5" w:rsidRPr="00611227" w:rsidRDefault="00F333F5" w:rsidP="00F333F5">
            <w:pPr>
              <w:jc w:val="center"/>
              <w:rPr>
                <w:rFonts w:cs="Arial"/>
                <w:spacing w:val="-3"/>
                <w:szCs w:val="20"/>
              </w:rPr>
            </w:pPr>
            <w:r>
              <w:rPr>
                <w:rFonts w:cs="Arial"/>
                <w:szCs w:val="20"/>
              </w:rPr>
              <w:t>$1,174,027.48</w:t>
            </w:r>
          </w:p>
        </w:tc>
        <w:tc>
          <w:tcPr>
            <w:tcW w:w="1554" w:type="dxa"/>
            <w:tcBorders>
              <w:top w:val="single" w:sz="4" w:space="0" w:color="auto"/>
              <w:left w:val="single" w:sz="4" w:space="0" w:color="auto"/>
              <w:bottom w:val="single" w:sz="4" w:space="0" w:color="auto"/>
              <w:right w:val="single" w:sz="4" w:space="0" w:color="auto"/>
            </w:tcBorders>
            <w:vAlign w:val="bottom"/>
          </w:tcPr>
          <w:p w14:paraId="08C0546A" w14:textId="3F9ECBFD" w:rsidR="00F333F5" w:rsidRPr="00611227" w:rsidRDefault="00F333F5" w:rsidP="00F333F5">
            <w:pPr>
              <w:jc w:val="center"/>
              <w:rPr>
                <w:rFonts w:cs="Arial"/>
                <w:spacing w:val="-3"/>
                <w:szCs w:val="20"/>
              </w:rPr>
            </w:pPr>
            <w:r>
              <w:rPr>
                <w:rFonts w:cs="Arial"/>
                <w:szCs w:val="20"/>
              </w:rPr>
              <w:t>$73,376.72</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5DE7EF4B" w:rsidR="0097028A" w:rsidRPr="0079438F" w:rsidRDefault="0097028A" w:rsidP="00696E3A">
      <w:pPr>
        <w:rPr>
          <w:b/>
        </w:rPr>
      </w:pPr>
      <w:r w:rsidRPr="00696E3A">
        <w:rPr>
          <w:b/>
          <w:bCs/>
        </w:rPr>
        <w:t>Drug class for review:</w:t>
      </w:r>
      <w:r w:rsidRPr="00C02553">
        <w:t xml:space="preserve"> </w:t>
      </w:r>
      <w:proofErr w:type="spellStart"/>
      <w:r w:rsidR="00872040" w:rsidRPr="000A6641">
        <w:rPr>
          <w:rFonts w:cs="Arial"/>
          <w:szCs w:val="20"/>
        </w:rPr>
        <w:t>Tepezza</w:t>
      </w:r>
      <w:proofErr w:type="spellEnd"/>
      <w:r w:rsidR="00872040">
        <w:rPr>
          <w:rFonts w:cs="Arial"/>
          <w:szCs w:val="20"/>
          <w:vertAlign w:val="superscript"/>
        </w:rPr>
        <w:t>®</w:t>
      </w:r>
      <w:r w:rsidR="00872040" w:rsidRPr="000A6641">
        <w:rPr>
          <w:rFonts w:cs="Arial"/>
          <w:szCs w:val="20"/>
        </w:rPr>
        <w:t xml:space="preserve"> (teprotumumab-</w:t>
      </w:r>
      <w:proofErr w:type="spellStart"/>
      <w:r w:rsidR="00872040" w:rsidRPr="000A6641">
        <w:rPr>
          <w:rFonts w:cs="Arial"/>
          <w:szCs w:val="20"/>
        </w:rPr>
        <w:t>trbw</w:t>
      </w:r>
      <w:proofErr w:type="spellEnd"/>
      <w:r w:rsidR="00872040" w:rsidRPr="000A6641">
        <w:rPr>
          <w:rFonts w:cs="Arial"/>
          <w:szCs w:val="20"/>
        </w:rPr>
        <w:t>)</w:t>
      </w:r>
    </w:p>
    <w:p w14:paraId="26CFE8A0" w14:textId="7E65DA5A"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827E25" w:rsidRPr="00827E25">
        <w:rPr>
          <w:rFonts w:cs="Arial"/>
          <w:szCs w:val="20"/>
        </w:rPr>
        <w:t xml:space="preserve"> </w:t>
      </w:r>
      <w:r w:rsidR="00827E25">
        <w:rPr>
          <w:rFonts w:cs="Arial"/>
          <w:szCs w:val="20"/>
        </w:rPr>
        <w:t>aged 18 years and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1CCF7F22" w14:textId="77777777" w:rsidR="00815D6D" w:rsidRDefault="00815D6D" w:rsidP="00815D6D">
      <w:pPr>
        <w:pStyle w:val="ListParagraph"/>
        <w:numPr>
          <w:ilvl w:val="0"/>
          <w:numId w:val="16"/>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5F4D0FA5" w14:textId="77777777" w:rsidR="00815D6D" w:rsidRPr="00F41A01" w:rsidRDefault="00815D6D" w:rsidP="00815D6D">
      <w:pPr>
        <w:pStyle w:val="ListParagraph"/>
        <w:numPr>
          <w:ilvl w:val="1"/>
          <w:numId w:val="16"/>
        </w:numPr>
        <w:tabs>
          <w:tab w:val="left" w:pos="810"/>
        </w:tabs>
        <w:ind w:left="720"/>
        <w:rPr>
          <w:rFonts w:cs="Arial"/>
          <w:bCs/>
          <w:szCs w:val="20"/>
        </w:rPr>
      </w:pPr>
      <w:r w:rsidRPr="00F41A01">
        <w:rPr>
          <w:rFonts w:cs="Arial"/>
          <w:bCs/>
          <w:szCs w:val="20"/>
        </w:rPr>
        <w:t xml:space="preserve">Participant </w:t>
      </w:r>
      <w:r>
        <w:rPr>
          <w:rFonts w:cs="Arial"/>
          <w:bCs/>
          <w:szCs w:val="20"/>
        </w:rPr>
        <w:t xml:space="preserve">is </w:t>
      </w:r>
      <w:r w:rsidRPr="00F41A01">
        <w:rPr>
          <w:rFonts w:cs="Arial"/>
          <w:bCs/>
          <w:szCs w:val="20"/>
        </w:rPr>
        <w:t xml:space="preserve">aged 18 years or </w:t>
      </w:r>
      <w:proofErr w:type="gramStart"/>
      <w:r w:rsidRPr="00F41A01">
        <w:rPr>
          <w:rFonts w:cs="Arial"/>
          <w:bCs/>
          <w:szCs w:val="20"/>
        </w:rPr>
        <w:t>older</w:t>
      </w:r>
      <w:r>
        <w:rPr>
          <w:rFonts w:cs="Arial"/>
          <w:bCs/>
          <w:szCs w:val="20"/>
        </w:rPr>
        <w:t>;</w:t>
      </w:r>
      <w:proofErr w:type="gramEnd"/>
    </w:p>
    <w:p w14:paraId="2A5E140B" w14:textId="77777777" w:rsidR="00815D6D" w:rsidRPr="008A5FF8" w:rsidRDefault="00815D6D" w:rsidP="00815D6D">
      <w:pPr>
        <w:pStyle w:val="ListParagraph"/>
        <w:numPr>
          <w:ilvl w:val="1"/>
          <w:numId w:val="16"/>
        </w:numPr>
        <w:tabs>
          <w:tab w:val="left" w:pos="810"/>
        </w:tabs>
        <w:ind w:left="720"/>
        <w:rPr>
          <w:rFonts w:cs="Arial"/>
          <w:bCs/>
          <w:szCs w:val="20"/>
        </w:rPr>
      </w:pPr>
      <w:r w:rsidRPr="00F41A01">
        <w:rPr>
          <w:rFonts w:cs="Arial"/>
          <w:bCs/>
          <w:szCs w:val="20"/>
        </w:rPr>
        <w:lastRenderedPageBreak/>
        <w:t>Prescribed by or in consultation with an ophthalmologist</w:t>
      </w:r>
      <w:r>
        <w:rPr>
          <w:rFonts w:cs="Arial"/>
          <w:bCs/>
          <w:szCs w:val="20"/>
        </w:rPr>
        <w:t xml:space="preserve">, endocrinologist, </w:t>
      </w:r>
      <w:r w:rsidRPr="00F41A01">
        <w:rPr>
          <w:rFonts w:cs="Arial"/>
          <w:bCs/>
          <w:szCs w:val="20"/>
        </w:rPr>
        <w:t xml:space="preserve">or other appropriate </w:t>
      </w:r>
      <w:r w:rsidRPr="008A5FF8">
        <w:rPr>
          <w:rFonts w:cs="Arial"/>
          <w:bCs/>
          <w:szCs w:val="20"/>
        </w:rPr>
        <w:t xml:space="preserve">specialist for the treated disease </w:t>
      </w:r>
      <w:proofErr w:type="gramStart"/>
      <w:r w:rsidRPr="008A5FF8">
        <w:rPr>
          <w:rFonts w:cs="Arial"/>
          <w:bCs/>
          <w:szCs w:val="20"/>
        </w:rPr>
        <w:t>state</w:t>
      </w:r>
      <w:r>
        <w:rPr>
          <w:rFonts w:cs="Arial"/>
          <w:bCs/>
          <w:szCs w:val="20"/>
        </w:rPr>
        <w:t>;</w:t>
      </w:r>
      <w:proofErr w:type="gramEnd"/>
    </w:p>
    <w:p w14:paraId="7633C16F" w14:textId="77777777" w:rsidR="00815D6D" w:rsidRPr="008A5FF8" w:rsidRDefault="00815D6D" w:rsidP="00815D6D">
      <w:pPr>
        <w:pStyle w:val="ListParagraph"/>
        <w:numPr>
          <w:ilvl w:val="1"/>
          <w:numId w:val="16"/>
        </w:numPr>
        <w:tabs>
          <w:tab w:val="left" w:pos="810"/>
        </w:tabs>
        <w:ind w:left="720"/>
        <w:rPr>
          <w:rFonts w:cs="Arial"/>
          <w:bCs/>
          <w:szCs w:val="20"/>
        </w:rPr>
      </w:pPr>
      <w:r w:rsidRPr="008A5FF8">
        <w:rPr>
          <w:rFonts w:cs="Arial"/>
          <w:bCs/>
          <w:szCs w:val="20"/>
        </w:rPr>
        <w:t xml:space="preserve">Documented diagnosis of </w:t>
      </w:r>
      <w:proofErr w:type="gramStart"/>
      <w:r w:rsidRPr="008A5FF8">
        <w:rPr>
          <w:rFonts w:cs="Arial"/>
          <w:bCs/>
          <w:szCs w:val="20"/>
        </w:rPr>
        <w:t>TED</w:t>
      </w:r>
      <w:r>
        <w:rPr>
          <w:rFonts w:cs="Arial"/>
          <w:bCs/>
          <w:szCs w:val="20"/>
        </w:rPr>
        <w:t>;</w:t>
      </w:r>
      <w:proofErr w:type="gramEnd"/>
    </w:p>
    <w:p w14:paraId="3A90BE8E" w14:textId="77777777" w:rsidR="00815D6D" w:rsidRPr="008A5FF8" w:rsidRDefault="00815D6D" w:rsidP="00815D6D">
      <w:pPr>
        <w:pStyle w:val="ListParagraph"/>
        <w:numPr>
          <w:ilvl w:val="1"/>
          <w:numId w:val="16"/>
        </w:numPr>
        <w:tabs>
          <w:tab w:val="left" w:pos="810"/>
        </w:tabs>
        <w:ind w:left="720"/>
        <w:rPr>
          <w:rFonts w:cs="Arial"/>
          <w:bCs/>
          <w:szCs w:val="20"/>
        </w:rPr>
      </w:pPr>
      <w:r w:rsidRPr="008A5FF8">
        <w:rPr>
          <w:rFonts w:cs="Arial"/>
          <w:bCs/>
          <w:szCs w:val="20"/>
        </w:rPr>
        <w:t xml:space="preserve">Proptosis ≥ 3mm above ULN for race and sex, or ≥ 3mm above patient’s </w:t>
      </w:r>
      <w:proofErr w:type="gramStart"/>
      <w:r w:rsidRPr="008A5FF8">
        <w:rPr>
          <w:rFonts w:cs="Arial"/>
          <w:bCs/>
          <w:szCs w:val="20"/>
        </w:rPr>
        <w:t>baseline</w:t>
      </w:r>
      <w:r>
        <w:rPr>
          <w:rFonts w:cs="Arial"/>
          <w:bCs/>
          <w:szCs w:val="20"/>
        </w:rPr>
        <w:t>;</w:t>
      </w:r>
      <w:proofErr w:type="gramEnd"/>
    </w:p>
    <w:p w14:paraId="5DEB118B" w14:textId="77777777" w:rsidR="00815D6D" w:rsidRPr="003D34D6" w:rsidRDefault="00815D6D" w:rsidP="00815D6D">
      <w:pPr>
        <w:pStyle w:val="ListParagraph"/>
        <w:numPr>
          <w:ilvl w:val="1"/>
          <w:numId w:val="16"/>
        </w:numPr>
        <w:tabs>
          <w:tab w:val="left" w:pos="810"/>
        </w:tabs>
        <w:ind w:left="720"/>
        <w:rPr>
          <w:rFonts w:cs="Arial"/>
          <w:bCs/>
          <w:szCs w:val="20"/>
        </w:rPr>
      </w:pPr>
      <w:r>
        <w:rPr>
          <w:rFonts w:cs="Arial"/>
          <w:bCs/>
          <w:szCs w:val="20"/>
        </w:rPr>
        <w:t>Failure to achieve desired therapeutic outcomes with an a</w:t>
      </w:r>
      <w:r w:rsidRPr="00F41A01">
        <w:rPr>
          <w:rFonts w:cs="Arial"/>
          <w:bCs/>
          <w:szCs w:val="20"/>
        </w:rPr>
        <w:t xml:space="preserve">dequate therapeutic trial of glucocorticoids (defined as at </w:t>
      </w:r>
      <w:r w:rsidRPr="00054E44">
        <w:rPr>
          <w:rFonts w:cs="Arial"/>
          <w:bCs/>
          <w:szCs w:val="20"/>
        </w:rPr>
        <w:t>least 1 month of</w:t>
      </w:r>
      <w:r w:rsidRPr="00F41A01">
        <w:rPr>
          <w:rFonts w:cs="Arial"/>
          <w:bCs/>
          <w:szCs w:val="20"/>
        </w:rPr>
        <w:t xml:space="preserve"> therapy) </w:t>
      </w:r>
      <w:r>
        <w:rPr>
          <w:rFonts w:cs="Arial"/>
          <w:bCs/>
          <w:szCs w:val="20"/>
        </w:rPr>
        <w:t>or</w:t>
      </w:r>
      <w:r w:rsidRPr="00F41A01">
        <w:rPr>
          <w:rFonts w:cs="Arial"/>
          <w:bCs/>
          <w:szCs w:val="20"/>
        </w:rPr>
        <w:t xml:space="preserve"> </w:t>
      </w:r>
      <w:r>
        <w:rPr>
          <w:rFonts w:cs="Arial"/>
          <w:bCs/>
          <w:szCs w:val="20"/>
        </w:rPr>
        <w:t xml:space="preserve">documented </w:t>
      </w:r>
      <w:r w:rsidRPr="00F41A01">
        <w:rPr>
          <w:rFonts w:cs="Arial"/>
          <w:bCs/>
          <w:szCs w:val="20"/>
        </w:rPr>
        <w:t>ADE/ADR</w:t>
      </w:r>
      <w:r>
        <w:rPr>
          <w:rFonts w:cs="Arial"/>
          <w:bCs/>
          <w:szCs w:val="20"/>
        </w:rPr>
        <w:t xml:space="preserve">s or contraindications to glucocorticoid </w:t>
      </w:r>
      <w:proofErr w:type="gramStart"/>
      <w:r>
        <w:rPr>
          <w:rFonts w:cs="Arial"/>
          <w:bCs/>
          <w:szCs w:val="20"/>
        </w:rPr>
        <w:t>therapy;</w:t>
      </w:r>
      <w:proofErr w:type="gramEnd"/>
    </w:p>
    <w:p w14:paraId="1E0CF809" w14:textId="77777777" w:rsidR="00815D6D" w:rsidRDefault="00815D6D" w:rsidP="00815D6D">
      <w:pPr>
        <w:pStyle w:val="ListParagraph"/>
        <w:numPr>
          <w:ilvl w:val="1"/>
          <w:numId w:val="16"/>
        </w:numPr>
        <w:tabs>
          <w:tab w:val="left" w:pos="810"/>
        </w:tabs>
        <w:ind w:left="720"/>
        <w:rPr>
          <w:rFonts w:cs="Arial"/>
          <w:bCs/>
          <w:szCs w:val="20"/>
        </w:rPr>
      </w:pPr>
      <w:r w:rsidRPr="005B6670">
        <w:rPr>
          <w:rFonts w:cs="Arial"/>
          <w:bCs/>
          <w:szCs w:val="20"/>
        </w:rPr>
        <w:t xml:space="preserve">Documentation of labs reporting participant is euthyroid prior to initiation of </w:t>
      </w:r>
      <w:proofErr w:type="gramStart"/>
      <w:r w:rsidRPr="005B6670">
        <w:rPr>
          <w:rFonts w:cs="Arial"/>
          <w:bCs/>
          <w:szCs w:val="20"/>
        </w:rPr>
        <w:t>treatment;</w:t>
      </w:r>
      <w:proofErr w:type="gramEnd"/>
    </w:p>
    <w:p w14:paraId="72943261" w14:textId="77777777" w:rsidR="00815D6D" w:rsidRPr="008E66B2" w:rsidRDefault="00815D6D" w:rsidP="00815D6D">
      <w:pPr>
        <w:pStyle w:val="ListParagraph"/>
        <w:numPr>
          <w:ilvl w:val="1"/>
          <w:numId w:val="16"/>
        </w:numPr>
        <w:tabs>
          <w:tab w:val="left" w:pos="810"/>
        </w:tabs>
        <w:ind w:left="720"/>
        <w:rPr>
          <w:rFonts w:cs="Arial"/>
          <w:bCs/>
          <w:szCs w:val="20"/>
        </w:rPr>
      </w:pPr>
      <w:r w:rsidRPr="008E66B2">
        <w:rPr>
          <w:rFonts w:cs="Arial"/>
          <w:bCs/>
          <w:szCs w:val="20"/>
        </w:rPr>
        <w:t xml:space="preserve">Documentation of baseline audiometry in all participants with documented repeat audiometry if participant reports any change in hearing; </w:t>
      </w:r>
      <w:r w:rsidRPr="00311922">
        <w:rPr>
          <w:rFonts w:cs="Arial"/>
          <w:b/>
          <w:szCs w:val="20"/>
        </w:rPr>
        <w:t>AND</w:t>
      </w:r>
    </w:p>
    <w:p w14:paraId="3A5DAD86" w14:textId="77777777" w:rsidR="00815D6D" w:rsidRPr="008E66B2" w:rsidRDefault="00815D6D" w:rsidP="00815D6D">
      <w:pPr>
        <w:pStyle w:val="ListParagraph"/>
        <w:numPr>
          <w:ilvl w:val="1"/>
          <w:numId w:val="16"/>
        </w:numPr>
        <w:tabs>
          <w:tab w:val="left" w:pos="810"/>
        </w:tabs>
        <w:ind w:left="720"/>
        <w:rPr>
          <w:rFonts w:cs="Arial"/>
          <w:bCs/>
          <w:szCs w:val="20"/>
        </w:rPr>
      </w:pPr>
      <w:r w:rsidRPr="008E66B2">
        <w:rPr>
          <w:rFonts w:cs="Arial"/>
          <w:bCs/>
          <w:szCs w:val="20"/>
        </w:rPr>
        <w:t>For participants with a diagnosis of diabetes, adequately controlled blood glucose prior to initiation of treatment.</w:t>
      </w:r>
    </w:p>
    <w:p w14:paraId="36D6B1F1" w14:textId="77777777" w:rsidR="00815D6D" w:rsidRPr="008E66B2" w:rsidRDefault="00815D6D" w:rsidP="00815D6D">
      <w:pPr>
        <w:pStyle w:val="ListParagraph"/>
        <w:numPr>
          <w:ilvl w:val="0"/>
          <w:numId w:val="16"/>
        </w:numPr>
        <w:tabs>
          <w:tab w:val="left" w:pos="810"/>
        </w:tabs>
        <w:rPr>
          <w:rFonts w:cs="Arial"/>
          <w:bCs/>
          <w:szCs w:val="20"/>
        </w:rPr>
      </w:pPr>
      <w:r w:rsidRPr="008E66B2">
        <w:rPr>
          <w:rFonts w:cs="Arial"/>
          <w:bCs/>
          <w:szCs w:val="20"/>
        </w:rPr>
        <w:t>Additional approval criteria for participants of reproductive potential:</w:t>
      </w:r>
    </w:p>
    <w:p w14:paraId="6575303B" w14:textId="77777777" w:rsidR="00815D6D" w:rsidRPr="008E66B2" w:rsidRDefault="00815D6D" w:rsidP="00815D6D">
      <w:pPr>
        <w:pStyle w:val="ListParagraph"/>
        <w:numPr>
          <w:ilvl w:val="1"/>
          <w:numId w:val="16"/>
        </w:numPr>
        <w:tabs>
          <w:tab w:val="left" w:pos="810"/>
        </w:tabs>
        <w:ind w:left="720"/>
        <w:rPr>
          <w:rFonts w:cs="Arial"/>
          <w:bCs/>
          <w:szCs w:val="20"/>
        </w:rPr>
      </w:pPr>
      <w:r w:rsidRPr="008E66B2">
        <w:rPr>
          <w:rFonts w:cs="Arial"/>
          <w:bCs/>
          <w:szCs w:val="20"/>
        </w:rPr>
        <w:t xml:space="preserve">Appropriate forms of contraception should be implemented prior to initiation, during treatment, and for 6 months following the last dose of </w:t>
      </w:r>
      <w:proofErr w:type="spellStart"/>
      <w:r w:rsidRPr="008E66B2">
        <w:rPr>
          <w:rFonts w:cs="Arial"/>
          <w:bCs/>
          <w:szCs w:val="20"/>
        </w:rPr>
        <w:t>Tepezza</w:t>
      </w:r>
      <w:proofErr w:type="spellEnd"/>
      <w:r w:rsidRPr="008E66B2">
        <w:rPr>
          <w:rFonts w:cs="Arial"/>
          <w:bCs/>
          <w:szCs w:val="20"/>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1DF7C422" w14:textId="77777777" w:rsidR="00AF6A17" w:rsidRDefault="00AF6A17" w:rsidP="00AF6A17">
      <w:pPr>
        <w:pStyle w:val="ListParagraph"/>
        <w:numPr>
          <w:ilvl w:val="0"/>
          <w:numId w:val="17"/>
        </w:numPr>
        <w:rPr>
          <w:rFonts w:cs="Arial"/>
          <w:noProof/>
          <w:szCs w:val="20"/>
        </w:rPr>
      </w:pPr>
      <w:r>
        <w:rPr>
          <w:rFonts w:cs="Arial"/>
          <w:noProof/>
          <w:szCs w:val="20"/>
        </w:rPr>
        <w:t>Therapy will deny with presence of one of the following:</w:t>
      </w:r>
    </w:p>
    <w:p w14:paraId="452C02AD" w14:textId="77777777" w:rsidR="00AF6A17" w:rsidRDefault="00AF6A17" w:rsidP="00AF6A17">
      <w:pPr>
        <w:pStyle w:val="ListParagraph"/>
        <w:numPr>
          <w:ilvl w:val="1"/>
          <w:numId w:val="17"/>
        </w:numPr>
        <w:ind w:left="720"/>
        <w:rPr>
          <w:rFonts w:cs="Arial"/>
          <w:noProof/>
          <w:szCs w:val="20"/>
        </w:rPr>
      </w:pPr>
      <w:r>
        <w:rPr>
          <w:rFonts w:cs="Arial"/>
          <w:noProof/>
          <w:szCs w:val="20"/>
        </w:rPr>
        <w:t>Any approval criteria are not met;</w:t>
      </w:r>
    </w:p>
    <w:p w14:paraId="446F74C6" w14:textId="77777777" w:rsidR="00AF6A17" w:rsidRDefault="00AF6A17" w:rsidP="00AF6A17">
      <w:pPr>
        <w:pStyle w:val="ListParagraph"/>
        <w:numPr>
          <w:ilvl w:val="1"/>
          <w:numId w:val="17"/>
        </w:numPr>
        <w:ind w:left="720"/>
        <w:rPr>
          <w:rFonts w:cs="Arial"/>
          <w:noProof/>
          <w:szCs w:val="20"/>
        </w:rPr>
      </w:pPr>
      <w:r w:rsidRPr="00725CFF">
        <w:rPr>
          <w:rFonts w:cs="Arial"/>
          <w:noProof/>
          <w:szCs w:val="20"/>
        </w:rPr>
        <w:t>Participant is currently pregnant</w:t>
      </w:r>
      <w:r>
        <w:rPr>
          <w:rFonts w:cs="Arial"/>
          <w:noProof/>
          <w:szCs w:val="20"/>
        </w:rPr>
        <w:t xml:space="preserve">; </w:t>
      </w:r>
      <w:r w:rsidRPr="00D87FE3">
        <w:rPr>
          <w:rFonts w:cs="Arial"/>
          <w:b/>
          <w:bCs/>
          <w:noProof/>
          <w:szCs w:val="20"/>
        </w:rPr>
        <w:t>OR</w:t>
      </w:r>
    </w:p>
    <w:p w14:paraId="02DFA62D" w14:textId="77777777" w:rsidR="00AF6A17" w:rsidRPr="00D87FE3" w:rsidRDefault="00AF6A17" w:rsidP="00AF6A17">
      <w:pPr>
        <w:pStyle w:val="ListParagraph"/>
        <w:numPr>
          <w:ilvl w:val="1"/>
          <w:numId w:val="17"/>
        </w:numPr>
        <w:ind w:left="720"/>
        <w:rPr>
          <w:rFonts w:cs="Arial"/>
          <w:noProof/>
          <w:szCs w:val="20"/>
        </w:rPr>
      </w:pPr>
      <w:r>
        <w:rPr>
          <w:rFonts w:cs="Arial"/>
          <w:noProof/>
          <w:szCs w:val="20"/>
        </w:rPr>
        <w:t>Claim exceeds 8 doses per lifetime.</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4BA2E115" w:rsidR="00343D6B" w:rsidRPr="00C02553" w:rsidRDefault="00343D6B" w:rsidP="00696E3A">
      <w:r w:rsidRPr="00696E3A">
        <w:rPr>
          <w:b/>
          <w:bCs/>
        </w:rPr>
        <w:t>Default Approval Period:</w:t>
      </w:r>
      <w:r w:rsidR="00973BD6">
        <w:t xml:space="preserve"> </w:t>
      </w:r>
      <w:r w:rsidR="00AF6A17">
        <w:t>6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091603EF" w14:textId="77777777" w:rsidR="00597F9C" w:rsidRPr="00B565A0" w:rsidRDefault="00597F9C" w:rsidP="00597F9C">
      <w:pPr>
        <w:pStyle w:val="Header"/>
        <w:numPr>
          <w:ilvl w:val="0"/>
          <w:numId w:val="17"/>
        </w:numPr>
        <w:rPr>
          <w:rStyle w:val="normaltextrun"/>
          <w:rFonts w:cs="Arial"/>
          <w:sz w:val="20"/>
          <w:shd w:val="clear" w:color="auto" w:fill="FFFFFF"/>
        </w:rPr>
      </w:pPr>
      <w:proofErr w:type="spellStart"/>
      <w:r w:rsidRPr="00B565A0">
        <w:rPr>
          <w:rStyle w:val="normaltextrun"/>
          <w:rFonts w:cs="Arial"/>
          <w:sz w:val="20"/>
          <w:shd w:val="clear" w:color="auto" w:fill="FFFFFF"/>
        </w:rPr>
        <w:t>Tepezza</w:t>
      </w:r>
      <w:proofErr w:type="spellEnd"/>
      <w:r w:rsidRPr="00B565A0">
        <w:rPr>
          <w:rStyle w:val="normaltextrun"/>
          <w:rFonts w:cs="Arial"/>
          <w:sz w:val="20"/>
          <w:shd w:val="clear" w:color="auto" w:fill="FFFFFF"/>
        </w:rPr>
        <w:t xml:space="preserve"> (teprotumumab) [prescribing information]. Lake Forest, IL: Horizon Therapeutics USA Inc; </w:t>
      </w:r>
      <w:r>
        <w:rPr>
          <w:rStyle w:val="normaltextrun"/>
          <w:rFonts w:cs="Arial"/>
          <w:sz w:val="20"/>
          <w:shd w:val="clear" w:color="auto" w:fill="FFFFFF"/>
        </w:rPr>
        <w:t xml:space="preserve">November </w:t>
      </w:r>
      <w:r w:rsidRPr="00B565A0">
        <w:rPr>
          <w:rStyle w:val="normaltextrun"/>
          <w:rFonts w:cs="Arial"/>
          <w:sz w:val="20"/>
          <w:shd w:val="clear" w:color="auto" w:fill="FFFFFF"/>
        </w:rPr>
        <w:t>202</w:t>
      </w:r>
      <w:r>
        <w:rPr>
          <w:rStyle w:val="normaltextrun"/>
          <w:rFonts w:cs="Arial"/>
          <w:sz w:val="20"/>
          <w:shd w:val="clear" w:color="auto" w:fill="FFFFFF"/>
        </w:rPr>
        <w:t>5</w:t>
      </w:r>
      <w:r w:rsidRPr="00B565A0">
        <w:rPr>
          <w:rStyle w:val="normaltextrun"/>
          <w:rFonts w:cs="Arial"/>
          <w:sz w:val="20"/>
          <w:shd w:val="clear" w:color="auto" w:fill="FFFFFF"/>
        </w:rPr>
        <w:t>.</w:t>
      </w:r>
    </w:p>
    <w:p w14:paraId="2CA1AF9B" w14:textId="77777777" w:rsidR="00597F9C" w:rsidRPr="00B565A0" w:rsidRDefault="00597F9C" w:rsidP="00597F9C">
      <w:pPr>
        <w:pStyle w:val="Header"/>
        <w:numPr>
          <w:ilvl w:val="0"/>
          <w:numId w:val="17"/>
        </w:numPr>
        <w:rPr>
          <w:rStyle w:val="normaltextrun"/>
          <w:rFonts w:cs="Arial"/>
          <w:sz w:val="20"/>
          <w:shd w:val="clear" w:color="auto" w:fill="FFFFFF"/>
        </w:rPr>
      </w:pPr>
      <w:r w:rsidRPr="00B565A0">
        <w:rPr>
          <w:rStyle w:val="normaltextrun"/>
          <w:rFonts w:cs="Arial"/>
          <w:sz w:val="20"/>
          <w:shd w:val="clear" w:color="auto" w:fill="FFFFFF"/>
        </w:rPr>
        <w:t xml:space="preserve">Douglas RS, </w:t>
      </w:r>
      <w:proofErr w:type="spellStart"/>
      <w:r w:rsidRPr="00B565A0">
        <w:rPr>
          <w:rStyle w:val="normaltextrun"/>
          <w:rFonts w:cs="Arial"/>
          <w:sz w:val="20"/>
          <w:shd w:val="clear" w:color="auto" w:fill="FFFFFF"/>
        </w:rPr>
        <w:t>Kahaly</w:t>
      </w:r>
      <w:proofErr w:type="spellEnd"/>
      <w:r w:rsidRPr="00B565A0">
        <w:rPr>
          <w:rStyle w:val="normaltextrun"/>
          <w:rFonts w:cs="Arial"/>
          <w:sz w:val="20"/>
          <w:shd w:val="clear" w:color="auto" w:fill="FFFFFF"/>
        </w:rPr>
        <w:t xml:space="preserve"> GJ, Patel A, et al. Teprotumumab for the treatment of active thyroid eye disease. N Engl J Med. 2020;382(4):341-</w:t>
      </w:r>
      <w:proofErr w:type="gramStart"/>
      <w:r w:rsidRPr="00B565A0">
        <w:rPr>
          <w:rStyle w:val="normaltextrun"/>
          <w:rFonts w:cs="Arial"/>
          <w:sz w:val="20"/>
          <w:shd w:val="clear" w:color="auto" w:fill="FFFFFF"/>
        </w:rPr>
        <w:t>352.[</w:t>
      </w:r>
      <w:proofErr w:type="gramEnd"/>
      <w:r w:rsidRPr="00B565A0">
        <w:rPr>
          <w:rStyle w:val="normaltextrun"/>
          <w:rFonts w:cs="Arial"/>
          <w:sz w:val="20"/>
          <w:shd w:val="clear" w:color="auto" w:fill="FFFFFF"/>
        </w:rPr>
        <w:t>PubMed 31971679]10.1056/NEJMoa1910434</w:t>
      </w:r>
    </w:p>
    <w:p w14:paraId="51DAA799" w14:textId="77777777" w:rsidR="00597F9C" w:rsidRPr="00B565A0" w:rsidRDefault="00597F9C" w:rsidP="00597F9C">
      <w:pPr>
        <w:pStyle w:val="Header"/>
        <w:numPr>
          <w:ilvl w:val="0"/>
          <w:numId w:val="17"/>
        </w:numPr>
        <w:rPr>
          <w:rStyle w:val="normaltextrun"/>
          <w:rFonts w:cs="Arial"/>
          <w:sz w:val="20"/>
          <w:shd w:val="clear" w:color="auto" w:fill="FFFFFF"/>
        </w:rPr>
      </w:pPr>
      <w:r w:rsidRPr="00B565A0">
        <w:rPr>
          <w:rStyle w:val="normaltextrun"/>
          <w:rFonts w:cs="Arial"/>
          <w:sz w:val="20"/>
          <w:shd w:val="clear" w:color="auto" w:fill="FFFFFF"/>
        </w:rPr>
        <w:t xml:space="preserve">Smith TJ, </w:t>
      </w:r>
      <w:proofErr w:type="spellStart"/>
      <w:r w:rsidRPr="00B565A0">
        <w:rPr>
          <w:rStyle w:val="normaltextrun"/>
          <w:rFonts w:cs="Arial"/>
          <w:sz w:val="20"/>
          <w:shd w:val="clear" w:color="auto" w:fill="FFFFFF"/>
        </w:rPr>
        <w:t>Kahaly</w:t>
      </w:r>
      <w:proofErr w:type="spellEnd"/>
      <w:r w:rsidRPr="00B565A0">
        <w:rPr>
          <w:rStyle w:val="normaltextrun"/>
          <w:rFonts w:cs="Arial"/>
          <w:sz w:val="20"/>
          <w:shd w:val="clear" w:color="auto" w:fill="FFFFFF"/>
        </w:rPr>
        <w:t xml:space="preserve"> GJ, Ezra DG, et al. Teprotumumab for thyroid-associated ophthalmopathy. N Engl J Med. 2017;376(18):1748-</w:t>
      </w:r>
      <w:proofErr w:type="gramStart"/>
      <w:r w:rsidRPr="00B565A0">
        <w:rPr>
          <w:rStyle w:val="normaltextrun"/>
          <w:rFonts w:cs="Arial"/>
          <w:sz w:val="20"/>
          <w:shd w:val="clear" w:color="auto" w:fill="FFFFFF"/>
        </w:rPr>
        <w:t>1761.[</w:t>
      </w:r>
      <w:proofErr w:type="gramEnd"/>
      <w:r w:rsidRPr="00B565A0">
        <w:rPr>
          <w:rStyle w:val="normaltextrun"/>
          <w:rFonts w:cs="Arial"/>
          <w:sz w:val="20"/>
          <w:shd w:val="clear" w:color="auto" w:fill="FFFFFF"/>
        </w:rPr>
        <w:t>PubMed 28467880]10.1056/NEJMoa1614949</w:t>
      </w:r>
    </w:p>
    <w:p w14:paraId="4C5C6DB3" w14:textId="77777777" w:rsidR="00597F9C" w:rsidRPr="00B565A0" w:rsidRDefault="00597F9C" w:rsidP="00597F9C">
      <w:pPr>
        <w:pStyle w:val="Header"/>
        <w:numPr>
          <w:ilvl w:val="0"/>
          <w:numId w:val="17"/>
        </w:numPr>
        <w:rPr>
          <w:rStyle w:val="normaltextrun"/>
          <w:rFonts w:cs="Arial"/>
          <w:sz w:val="20"/>
          <w:shd w:val="clear" w:color="auto" w:fill="FFFFFF"/>
        </w:rPr>
      </w:pPr>
      <w:r w:rsidRPr="00B565A0">
        <w:rPr>
          <w:rStyle w:val="normaltextrun"/>
          <w:rFonts w:cs="Arial"/>
          <w:sz w:val="20"/>
          <w:shd w:val="clear" w:color="auto" w:fill="FFFFFF"/>
        </w:rPr>
        <w:t>Ross D, Burch H, Cooper D, et al. 2016 American Thyroid Association Guidelines for Diagnosis and Management of Hyperthyroidism and Other Causes of Thyrotoxicosis. 2016; 26(10): 1-79. Accessed at https://liebertpub.com/doi/pdf/10.1089/thy.2016.0229</w:t>
      </w:r>
    </w:p>
    <w:p w14:paraId="10E9530F" w14:textId="77777777" w:rsidR="00597F9C" w:rsidRPr="00B565A0" w:rsidRDefault="00597F9C" w:rsidP="00597F9C">
      <w:pPr>
        <w:pStyle w:val="Header"/>
        <w:numPr>
          <w:ilvl w:val="0"/>
          <w:numId w:val="17"/>
        </w:numPr>
        <w:tabs>
          <w:tab w:val="clear" w:pos="4320"/>
          <w:tab w:val="clear" w:pos="8640"/>
        </w:tabs>
        <w:rPr>
          <w:rFonts w:cs="Arial"/>
          <w:sz w:val="20"/>
        </w:rPr>
      </w:pPr>
      <w:r w:rsidRPr="00B565A0">
        <w:rPr>
          <w:rStyle w:val="normaltextrun"/>
          <w:rFonts w:cs="Arial"/>
          <w:sz w:val="20"/>
          <w:shd w:val="clear" w:color="auto" w:fill="FFFFFF"/>
        </w:rPr>
        <w:t xml:space="preserve">IPD Analytics. New Drug Review: </w:t>
      </w:r>
      <w:proofErr w:type="spellStart"/>
      <w:r w:rsidRPr="00B565A0">
        <w:rPr>
          <w:rStyle w:val="normaltextrun"/>
          <w:rFonts w:cs="Arial"/>
          <w:sz w:val="20"/>
          <w:shd w:val="clear" w:color="auto" w:fill="FFFFFF"/>
        </w:rPr>
        <w:t>Tepezza</w:t>
      </w:r>
      <w:proofErr w:type="spellEnd"/>
      <w:r w:rsidRPr="00B565A0">
        <w:rPr>
          <w:rStyle w:val="normaltextrun"/>
          <w:rFonts w:cs="Arial"/>
          <w:sz w:val="20"/>
          <w:shd w:val="clear" w:color="auto" w:fill="FFFFFF"/>
        </w:rPr>
        <w:t xml:space="preserve"> (teprotumumab-</w:t>
      </w:r>
      <w:proofErr w:type="spellStart"/>
      <w:r w:rsidRPr="00B565A0">
        <w:rPr>
          <w:rStyle w:val="normaltextrun"/>
          <w:rFonts w:cs="Arial"/>
          <w:sz w:val="20"/>
          <w:shd w:val="clear" w:color="auto" w:fill="FFFFFF"/>
        </w:rPr>
        <w:t>trbw</w:t>
      </w:r>
      <w:proofErr w:type="spellEnd"/>
      <w:r w:rsidRPr="00B565A0">
        <w:rPr>
          <w:rStyle w:val="normaltextrun"/>
          <w:rFonts w:cs="Arial"/>
          <w:sz w:val="20"/>
          <w:shd w:val="clear" w:color="auto" w:fill="FFFFFF"/>
        </w:rPr>
        <w:t>).  February 2020.</w:t>
      </w:r>
    </w:p>
    <w:p w14:paraId="3FA1E7DB" w14:textId="5D93C5BE" w:rsidR="00777CA4" w:rsidRDefault="00777CA4" w:rsidP="00597F9C"/>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31C6" w14:textId="77777777" w:rsidR="00C04E99" w:rsidRPr="00C02553" w:rsidRDefault="00C04E99" w:rsidP="00AE77DB">
      <w:r w:rsidRPr="00C02553">
        <w:separator/>
      </w:r>
    </w:p>
  </w:endnote>
  <w:endnote w:type="continuationSeparator" w:id="0">
    <w:p w14:paraId="65EDDBB1" w14:textId="77777777" w:rsidR="00C04E99" w:rsidRPr="00C02553" w:rsidRDefault="00C04E99" w:rsidP="00AE77DB">
      <w:r w:rsidRPr="00C02553">
        <w:continuationSeparator/>
      </w:r>
    </w:p>
  </w:endnote>
  <w:endnote w:type="continuationNotice" w:id="1">
    <w:p w14:paraId="5B2F25CC" w14:textId="77777777" w:rsidR="00C04E99" w:rsidRPr="00C02553" w:rsidRDefault="00C04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9ADD" w14:textId="77777777" w:rsidR="00C04E99" w:rsidRPr="00C02553" w:rsidRDefault="00C04E99" w:rsidP="00AE77DB">
      <w:r w:rsidRPr="00C02553">
        <w:separator/>
      </w:r>
    </w:p>
  </w:footnote>
  <w:footnote w:type="continuationSeparator" w:id="0">
    <w:p w14:paraId="543C3ECC" w14:textId="77777777" w:rsidR="00C04E99" w:rsidRPr="00C02553" w:rsidRDefault="00C04E99" w:rsidP="00AE77DB">
      <w:r w:rsidRPr="00C02553">
        <w:continuationSeparator/>
      </w:r>
    </w:p>
  </w:footnote>
  <w:footnote w:type="continuationNotice" w:id="1">
    <w:p w14:paraId="4964DA8A" w14:textId="77777777" w:rsidR="00C04E99" w:rsidRPr="00C02553" w:rsidRDefault="00C04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D14902">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D14902">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D14902">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B37B0"/>
    <w:multiLevelType w:val="hybridMultilevel"/>
    <w:tmpl w:val="356E1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064CF6"/>
    <w:multiLevelType w:val="hybridMultilevel"/>
    <w:tmpl w:val="D9E0FD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4"/>
  </w:num>
  <w:num w:numId="13" w16cid:durableId="604729665">
    <w:abstractNumId w:val="5"/>
  </w:num>
  <w:num w:numId="14" w16cid:durableId="1805081292">
    <w:abstractNumId w:val="11"/>
  </w:num>
  <w:num w:numId="15" w16cid:durableId="1911186802">
    <w:abstractNumId w:val="6"/>
  </w:num>
  <w:num w:numId="16" w16cid:durableId="1940719050">
    <w:abstractNumId w:val="12"/>
  </w:num>
  <w:num w:numId="17" w16cid:durableId="42365178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HHPte7+Q6flenTt1rR4xpRKwUkM/ar+ksqy/XJtLFvbqkxp/mkD4QLtxl+fv9Q8x0vDf2rmXnpitUVZfhqaodQ==" w:salt="qtVRRlV5yNXv0pieyjvQC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51FD0"/>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4D4A"/>
    <w:rsid w:val="00177A80"/>
    <w:rsid w:val="001808B8"/>
    <w:rsid w:val="00193C74"/>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878C1"/>
    <w:rsid w:val="00396C0B"/>
    <w:rsid w:val="003A0861"/>
    <w:rsid w:val="003A630F"/>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13B6"/>
    <w:rsid w:val="00433339"/>
    <w:rsid w:val="00436159"/>
    <w:rsid w:val="00446BBC"/>
    <w:rsid w:val="004471BA"/>
    <w:rsid w:val="004472C0"/>
    <w:rsid w:val="00450705"/>
    <w:rsid w:val="00451928"/>
    <w:rsid w:val="00460B5D"/>
    <w:rsid w:val="0046618B"/>
    <w:rsid w:val="0048608C"/>
    <w:rsid w:val="00496E57"/>
    <w:rsid w:val="004B3E10"/>
    <w:rsid w:val="004C0F5D"/>
    <w:rsid w:val="004C375A"/>
    <w:rsid w:val="004C4954"/>
    <w:rsid w:val="004C5767"/>
    <w:rsid w:val="004D0080"/>
    <w:rsid w:val="004D5322"/>
    <w:rsid w:val="004D78B0"/>
    <w:rsid w:val="004E611F"/>
    <w:rsid w:val="004F2A79"/>
    <w:rsid w:val="004F4D37"/>
    <w:rsid w:val="00501A14"/>
    <w:rsid w:val="00501DE3"/>
    <w:rsid w:val="005058CB"/>
    <w:rsid w:val="0051044D"/>
    <w:rsid w:val="005139E4"/>
    <w:rsid w:val="00515075"/>
    <w:rsid w:val="00516D12"/>
    <w:rsid w:val="00520FE9"/>
    <w:rsid w:val="0052185A"/>
    <w:rsid w:val="005233E7"/>
    <w:rsid w:val="00526C8D"/>
    <w:rsid w:val="005328B2"/>
    <w:rsid w:val="00535BD5"/>
    <w:rsid w:val="00540977"/>
    <w:rsid w:val="00551668"/>
    <w:rsid w:val="005572D5"/>
    <w:rsid w:val="00566BE4"/>
    <w:rsid w:val="00570D21"/>
    <w:rsid w:val="00576113"/>
    <w:rsid w:val="00590652"/>
    <w:rsid w:val="0059235F"/>
    <w:rsid w:val="00596936"/>
    <w:rsid w:val="00597F9C"/>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0C34"/>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1693"/>
    <w:rsid w:val="006D2330"/>
    <w:rsid w:val="006E0F8B"/>
    <w:rsid w:val="006E12F7"/>
    <w:rsid w:val="006E29D7"/>
    <w:rsid w:val="007068A4"/>
    <w:rsid w:val="00706D67"/>
    <w:rsid w:val="00713052"/>
    <w:rsid w:val="00721367"/>
    <w:rsid w:val="007231FA"/>
    <w:rsid w:val="00725A10"/>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3E2B"/>
    <w:rsid w:val="0079438F"/>
    <w:rsid w:val="007A3034"/>
    <w:rsid w:val="007A527E"/>
    <w:rsid w:val="007A53E7"/>
    <w:rsid w:val="007A78F7"/>
    <w:rsid w:val="007B3333"/>
    <w:rsid w:val="007B379F"/>
    <w:rsid w:val="007B37D6"/>
    <w:rsid w:val="007B5D30"/>
    <w:rsid w:val="007D2920"/>
    <w:rsid w:val="007D42DD"/>
    <w:rsid w:val="007E6A37"/>
    <w:rsid w:val="007F1774"/>
    <w:rsid w:val="007F593C"/>
    <w:rsid w:val="00811A70"/>
    <w:rsid w:val="0081406E"/>
    <w:rsid w:val="00815D6D"/>
    <w:rsid w:val="00827E25"/>
    <w:rsid w:val="00832211"/>
    <w:rsid w:val="008325F4"/>
    <w:rsid w:val="00832AC8"/>
    <w:rsid w:val="00846FA4"/>
    <w:rsid w:val="008524BA"/>
    <w:rsid w:val="00852B74"/>
    <w:rsid w:val="00852BE2"/>
    <w:rsid w:val="00856928"/>
    <w:rsid w:val="00865538"/>
    <w:rsid w:val="00870875"/>
    <w:rsid w:val="00872040"/>
    <w:rsid w:val="0088225C"/>
    <w:rsid w:val="00884026"/>
    <w:rsid w:val="00884C78"/>
    <w:rsid w:val="008859E1"/>
    <w:rsid w:val="00896264"/>
    <w:rsid w:val="008A2549"/>
    <w:rsid w:val="008A5D88"/>
    <w:rsid w:val="008B2851"/>
    <w:rsid w:val="008C000E"/>
    <w:rsid w:val="008D0F2F"/>
    <w:rsid w:val="008D237F"/>
    <w:rsid w:val="008D3FD8"/>
    <w:rsid w:val="008D6B05"/>
    <w:rsid w:val="008E7D2D"/>
    <w:rsid w:val="008F44C0"/>
    <w:rsid w:val="008F5999"/>
    <w:rsid w:val="00903AD6"/>
    <w:rsid w:val="00904D7A"/>
    <w:rsid w:val="00911F03"/>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515"/>
    <w:rsid w:val="009C3CC7"/>
    <w:rsid w:val="009D2057"/>
    <w:rsid w:val="009D3D6C"/>
    <w:rsid w:val="009D5551"/>
    <w:rsid w:val="009D62DB"/>
    <w:rsid w:val="009D7A12"/>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57F3C"/>
    <w:rsid w:val="00A628F8"/>
    <w:rsid w:val="00A62BAA"/>
    <w:rsid w:val="00A66172"/>
    <w:rsid w:val="00A744C3"/>
    <w:rsid w:val="00A80896"/>
    <w:rsid w:val="00AA70AB"/>
    <w:rsid w:val="00AA715F"/>
    <w:rsid w:val="00AB0B9F"/>
    <w:rsid w:val="00AB1713"/>
    <w:rsid w:val="00AB63BE"/>
    <w:rsid w:val="00AC1EBC"/>
    <w:rsid w:val="00AC2599"/>
    <w:rsid w:val="00AC2DE9"/>
    <w:rsid w:val="00AC3CD9"/>
    <w:rsid w:val="00AD2C5F"/>
    <w:rsid w:val="00AE1481"/>
    <w:rsid w:val="00AE27F9"/>
    <w:rsid w:val="00AE678F"/>
    <w:rsid w:val="00AE77DB"/>
    <w:rsid w:val="00AF6A17"/>
    <w:rsid w:val="00AF7453"/>
    <w:rsid w:val="00B00FFF"/>
    <w:rsid w:val="00B06084"/>
    <w:rsid w:val="00B15F4F"/>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99"/>
    <w:rsid w:val="00C04EB6"/>
    <w:rsid w:val="00C056F9"/>
    <w:rsid w:val="00C07A7B"/>
    <w:rsid w:val="00C1018C"/>
    <w:rsid w:val="00C1150E"/>
    <w:rsid w:val="00C14D52"/>
    <w:rsid w:val="00C2586C"/>
    <w:rsid w:val="00C26001"/>
    <w:rsid w:val="00C34E72"/>
    <w:rsid w:val="00C56A69"/>
    <w:rsid w:val="00C56B1F"/>
    <w:rsid w:val="00C61B52"/>
    <w:rsid w:val="00C62745"/>
    <w:rsid w:val="00C654CA"/>
    <w:rsid w:val="00C763BD"/>
    <w:rsid w:val="00C779A8"/>
    <w:rsid w:val="00C82E19"/>
    <w:rsid w:val="00C96873"/>
    <w:rsid w:val="00CA1735"/>
    <w:rsid w:val="00CA207E"/>
    <w:rsid w:val="00CA3C4B"/>
    <w:rsid w:val="00CA7252"/>
    <w:rsid w:val="00CB2C5A"/>
    <w:rsid w:val="00CE0C1C"/>
    <w:rsid w:val="00CE34AF"/>
    <w:rsid w:val="00CE4A1B"/>
    <w:rsid w:val="00CF00A4"/>
    <w:rsid w:val="00CF25FB"/>
    <w:rsid w:val="00CF614C"/>
    <w:rsid w:val="00D02F34"/>
    <w:rsid w:val="00D13D87"/>
    <w:rsid w:val="00D14902"/>
    <w:rsid w:val="00D16590"/>
    <w:rsid w:val="00D20720"/>
    <w:rsid w:val="00D232D9"/>
    <w:rsid w:val="00D2359E"/>
    <w:rsid w:val="00D250D9"/>
    <w:rsid w:val="00D27533"/>
    <w:rsid w:val="00D42DA3"/>
    <w:rsid w:val="00D4546D"/>
    <w:rsid w:val="00D47996"/>
    <w:rsid w:val="00D61118"/>
    <w:rsid w:val="00D614F1"/>
    <w:rsid w:val="00D70D50"/>
    <w:rsid w:val="00D71917"/>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1D0"/>
    <w:rsid w:val="00E6466A"/>
    <w:rsid w:val="00E72221"/>
    <w:rsid w:val="00E81B96"/>
    <w:rsid w:val="00E83428"/>
    <w:rsid w:val="00E84C58"/>
    <w:rsid w:val="00E873A5"/>
    <w:rsid w:val="00E90D11"/>
    <w:rsid w:val="00E915E5"/>
    <w:rsid w:val="00EB0367"/>
    <w:rsid w:val="00EB4FB9"/>
    <w:rsid w:val="00EB5BC8"/>
    <w:rsid w:val="00EC2738"/>
    <w:rsid w:val="00ED760F"/>
    <w:rsid w:val="00ED7B42"/>
    <w:rsid w:val="00EE292E"/>
    <w:rsid w:val="00EE3EA5"/>
    <w:rsid w:val="00EE613F"/>
    <w:rsid w:val="00EE6BD1"/>
    <w:rsid w:val="00EF0262"/>
    <w:rsid w:val="00EF0828"/>
    <w:rsid w:val="00EF6F8B"/>
    <w:rsid w:val="00F03898"/>
    <w:rsid w:val="00F1527A"/>
    <w:rsid w:val="00F2696B"/>
    <w:rsid w:val="00F27821"/>
    <w:rsid w:val="00F333F5"/>
    <w:rsid w:val="00F4092A"/>
    <w:rsid w:val="00F41F69"/>
    <w:rsid w:val="00F43E41"/>
    <w:rsid w:val="00F4790C"/>
    <w:rsid w:val="00F50C4B"/>
    <w:rsid w:val="00F54C08"/>
    <w:rsid w:val="00F553A2"/>
    <w:rsid w:val="00F6068C"/>
    <w:rsid w:val="00F62763"/>
    <w:rsid w:val="00F62F33"/>
    <w:rsid w:val="00F634C1"/>
    <w:rsid w:val="00F63A52"/>
    <w:rsid w:val="00F730BA"/>
    <w:rsid w:val="00F87CCE"/>
    <w:rsid w:val="00F903BE"/>
    <w:rsid w:val="00F95D04"/>
    <w:rsid w:val="00FA16EC"/>
    <w:rsid w:val="00FA2811"/>
    <w:rsid w:val="00FA4837"/>
    <w:rsid w:val="00FB1D33"/>
    <w:rsid w:val="00FB5E96"/>
    <w:rsid w:val="00FC05A0"/>
    <w:rsid w:val="00FC6758"/>
    <w:rsid w:val="00FD34EA"/>
    <w:rsid w:val="00FE3F3E"/>
    <w:rsid w:val="00FE4D52"/>
    <w:rsid w:val="00FE5AEE"/>
    <w:rsid w:val="00FF0B0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52185A"/>
    <w:rPr>
      <w:sz w:val="16"/>
      <w:szCs w:val="16"/>
    </w:rPr>
  </w:style>
  <w:style w:type="paragraph" w:styleId="CommentSubject">
    <w:name w:val="annotation subject"/>
    <w:basedOn w:val="CommentText"/>
    <w:next w:val="CommentText"/>
    <w:link w:val="CommentSubjectChar"/>
    <w:uiPriority w:val="99"/>
    <w:semiHidden/>
    <w:unhideWhenUsed/>
    <w:rsid w:val="0052185A"/>
    <w:rPr>
      <w:b/>
      <w:bCs/>
    </w:rPr>
  </w:style>
  <w:style w:type="character" w:customStyle="1" w:styleId="CommentTextChar">
    <w:name w:val="Comment Text Char"/>
    <w:basedOn w:val="DefaultParagraphFont"/>
    <w:link w:val="CommentText"/>
    <w:semiHidden/>
    <w:rsid w:val="0052185A"/>
    <w:rPr>
      <w:rFonts w:ascii="Arial" w:hAnsi="Arial"/>
    </w:rPr>
  </w:style>
  <w:style w:type="character" w:customStyle="1" w:styleId="CommentSubjectChar">
    <w:name w:val="Comment Subject Char"/>
    <w:basedOn w:val="CommentTextChar"/>
    <w:link w:val="CommentSubject"/>
    <w:uiPriority w:val="99"/>
    <w:semiHidden/>
    <w:rsid w:val="0052185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58542-27BE-4E24-A167-4D935A5D8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0F9992BC-7C11-4A83-A97F-D2E41AE80BFC}">
  <ds:schemaRefs>
    <ds:schemaRef ds:uri="http://purl.org/dc/dcmitype/"/>
    <ds:schemaRef ds:uri="http://schemas.microsoft.com/office/infopath/2007/PartnerControls"/>
    <ds:schemaRef ds:uri="f5eefb00-5952-4f7e-8cf8-96f81cfadd01"/>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aba01ddc-ae9a-4c9e-819c-7140b4239cde"/>
    <ds:schemaRef ds:uri="http://www.w3.org/XML/1998/namespac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657</Words>
  <Characters>3915</Characters>
  <Application>Microsoft Office Word</Application>
  <DocSecurity>10</DocSecurity>
  <Lines>32</Lines>
  <Paragraphs>9</Paragraphs>
  <ScaleCrop>false</ScaleCrop>
  <HeadingPairs>
    <vt:vector size="2" baseType="variant">
      <vt:variant>
        <vt:lpstr>Title</vt:lpstr>
      </vt:variant>
      <vt:variant>
        <vt:i4>1</vt:i4>
      </vt:variant>
    </vt:vector>
  </HeadingPairs>
  <TitlesOfParts>
    <vt:vector size="1" baseType="lpstr">
      <vt:lpstr>Tepezza CE</vt:lpstr>
    </vt:vector>
  </TitlesOfParts>
  <Company>DSS</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Tepezza CE</dc:title>
  <dc:subject/>
  <dc:creator>DMS</dc:creator>
  <cp:keywords/>
  <cp:lastModifiedBy>Heriford, Katherine</cp:lastModifiedBy>
  <cp:revision>36</cp:revision>
  <cp:lastPrinted>2018-10-31T18:17:00Z</cp:lastPrinted>
  <dcterms:created xsi:type="dcterms:W3CDTF">2025-11-19T15:39:00Z</dcterms:created>
  <dcterms:modified xsi:type="dcterms:W3CDTF">2026-07-06T17:25:00Z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