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5337E195" w:rsidR="004C5767" w:rsidRPr="00F319F4" w:rsidRDefault="004C5767" w:rsidP="00F319F4">
      <w:pPr>
        <w:pStyle w:val="tbody"/>
        <w:rPr>
          <w:b w:val="0"/>
          <w:bCs/>
        </w:rPr>
      </w:pPr>
      <w:r w:rsidRPr="00C02553">
        <w:t>Drug/Drug Class:</w:t>
      </w:r>
      <w:r w:rsidR="003B4820">
        <w:t xml:space="preserve"> </w:t>
      </w:r>
      <w:r w:rsidR="00F319F4" w:rsidRPr="00F319F4">
        <w:rPr>
          <w:b w:val="0"/>
          <w:bCs/>
        </w:rPr>
        <w:t xml:space="preserve">Myelodysplastic Syndromes Agents Clinical Edit </w:t>
      </w:r>
    </w:p>
    <w:p w14:paraId="7AD7FFCE" w14:textId="06479588" w:rsidR="004C5767" w:rsidRPr="00C02553" w:rsidRDefault="004C5767" w:rsidP="00D27533">
      <w:pPr>
        <w:pStyle w:val="tbody"/>
      </w:pPr>
      <w:r w:rsidRPr="00C02553">
        <w:t xml:space="preserve">First Implementation Date: </w:t>
      </w:r>
      <w:r w:rsidR="00E831D3" w:rsidRPr="00E831D3">
        <w:rPr>
          <w:b w:val="0"/>
          <w:bCs/>
        </w:rPr>
        <w:t>November 19, 2020</w:t>
      </w:r>
    </w:p>
    <w:p w14:paraId="4B7D760D" w14:textId="0102D675" w:rsidR="004C5767" w:rsidRPr="00D232D9" w:rsidRDefault="00E831D3" w:rsidP="15EB50BA">
      <w:pPr>
        <w:pStyle w:val="tbody"/>
        <w:rPr>
          <w:b w:val="0"/>
        </w:rPr>
      </w:pPr>
      <w:r>
        <w:t>Proposed</w:t>
      </w:r>
      <w:r w:rsidR="004C5767">
        <w:t xml:space="preserve"> Date:</w:t>
      </w:r>
      <w:r w:rsidR="00065C22">
        <w:t xml:space="preserve"> </w:t>
      </w:r>
      <w:r>
        <w:rPr>
          <w:b w:val="0"/>
        </w:rPr>
        <w:t>July 14,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5137E79B" w:rsidR="004C5767" w:rsidRPr="00D27533" w:rsidRDefault="004C5767" w:rsidP="00D27533">
      <w:pPr>
        <w:pStyle w:val="tbody"/>
        <w:rPr>
          <w:b w:val="0"/>
          <w:bCs/>
          <w:spacing w:val="-3"/>
        </w:rPr>
      </w:pPr>
      <w:r w:rsidRPr="00C02553">
        <w:t xml:space="preserve">Criteria Status: </w:t>
      </w:r>
      <w:r w:rsidR="00566BE4" w:rsidRPr="0008300D">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6A80BBE6" w14:textId="77777777" w:rsidR="00B11B30" w:rsidRDefault="00B11B30" w:rsidP="00696E3A">
      <w:r w:rsidRPr="00B11B30">
        <w:t>Ensure appropriate utilization and control of agents for Myelodysplastic syndromes.</w:t>
      </w:r>
    </w:p>
    <w:p w14:paraId="2320C114" w14:textId="3900B085"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1865D31D" w14:textId="77777777" w:rsidR="006C398D" w:rsidRDefault="006C398D" w:rsidP="006C398D">
      <w:r>
        <w:t xml:space="preserve">Myelodysplastic syndromes (MDS) are a rare group of blood disorders in which dysfunctional blood cells fail to develop normally within the bone marrow and are released into the bloodstream.  The most common symptom in MDS is anemia due to low levels of circulating red blood cells.  The prevalence of MDS is unknown but is estimated at 10,000 to 20,000 people diagnosed each year in the United States.  In MDS-RS at least 15% of the early red blood cells </w:t>
      </w:r>
      <w:proofErr w:type="gramStart"/>
      <w:r>
        <w:t>must be</w:t>
      </w:r>
      <w:proofErr w:type="gramEnd"/>
      <w:r>
        <w:t xml:space="preserve"> ring sideroblasts (or at least 5% if the cells also have a pathogenic variant in the SF3B1 gene).  MDS/MPN-RS-T is characterized by anemia, bone marrow dysplasia with ring sideroblasts and persistent thrombocytosis; it is a rare disorder, accounting for &lt; 1% of all cases of MDS.</w:t>
      </w:r>
    </w:p>
    <w:p w14:paraId="1560BF4D" w14:textId="77777777" w:rsidR="006C398D" w:rsidRDefault="006C398D" w:rsidP="006C398D"/>
    <w:p w14:paraId="3B97B68E" w14:textId="77777777" w:rsidR="006C398D" w:rsidRDefault="006C398D" w:rsidP="006C398D">
      <w:r>
        <w:t>Reblozyl</w:t>
      </w:r>
      <w:r w:rsidRPr="00C47BCC">
        <w:rPr>
          <w:vertAlign w:val="superscript"/>
        </w:rPr>
        <w:t>®</w:t>
      </w:r>
      <w:r>
        <w:t xml:space="preserve"> (luspatercept-aamt) is the first and only FDA-approved erythroid maturation agent, representing a new class of therapy which works by regulating late-stage red blood cell maturation to help patients reduce their RBC transfusion burden.  Reblozyl was </w:t>
      </w:r>
      <w:proofErr w:type="gramStart"/>
      <w:r>
        <w:t>FDA approved</w:t>
      </w:r>
      <w:proofErr w:type="gramEnd"/>
      <w:r>
        <w:t xml:space="preserve"> in November 2019, for the treatment of anemia in adult patients with beta thalassemia who require regular red blood cell (RBC) transfusions.  Beta thalassemia is a rare, inherited blood disorder caused by a genetic defect in hemoglobin with an estimated incidence of symptomatic disease of 1 in 100,000 people.  Beta thalassemia is associated with ineffective erythropoiesis, which results in the production of fewer and less healthy RBCs, often leading to severe anemia as well as other serious health issues.  On April 3, 2020, Reblozyl received FDA approval for the treatment of anemia failing an erythropoiesis stimulating agent (ESA) and requiring 2 or more RBC units over 8 weeks in adults with very low to intermediate risk myelodysplastic syndrome with ring sideroblasts (MDS-RS) or myelodysplastic/myeloproliferative neoplasm with ring sideroblasts and thrombocytosis (MDS/MPN-RS-T).  In August 2023, Reblozyl was approved for the treatment of MDS-associated anemia in ESA-naïve patients. </w:t>
      </w:r>
    </w:p>
    <w:p w14:paraId="4643274C" w14:textId="77777777" w:rsidR="006C398D" w:rsidRDefault="006C398D" w:rsidP="006C398D"/>
    <w:p w14:paraId="7ACECC9F" w14:textId="2F3E538C" w:rsidR="00B56DCC" w:rsidRDefault="006C398D" w:rsidP="006C398D">
      <w:r>
        <w:t xml:space="preserve">In June 2024, </w:t>
      </w:r>
      <w:proofErr w:type="spellStart"/>
      <w:r>
        <w:t>Rytelo</w:t>
      </w:r>
      <w:proofErr w:type="spellEnd"/>
      <w:r w:rsidR="00FD4475" w:rsidRPr="007E72F9">
        <w:rPr>
          <w:vertAlign w:val="superscript"/>
        </w:rPr>
        <w:t>®</w:t>
      </w:r>
      <w:r>
        <w:t xml:space="preserve"> (</w:t>
      </w:r>
      <w:proofErr w:type="spellStart"/>
      <w:r>
        <w:t>imetelstat</w:t>
      </w:r>
      <w:proofErr w:type="spellEnd"/>
      <w:r>
        <w:t>), an oligonucleotide telomerase inhibitor, was approved for the treatment of adult patients with low-to intermediate-1 risk MDS with transfusion-dependent (TD) anemia requiring 4 or more RBC units over 8 weeks who have not responded to or have lost response to or are ineligible for ESAs.</w:t>
      </w:r>
    </w:p>
    <w:p w14:paraId="237F2C63" w14:textId="77777777" w:rsidR="006C398D" w:rsidRDefault="006C398D" w:rsidP="006C398D"/>
    <w:p w14:paraId="5B5260CF" w14:textId="3A532FED" w:rsidR="003D4704" w:rsidRPr="00AD17B7" w:rsidRDefault="003D4704" w:rsidP="003D4704">
      <w:r>
        <w:rPr>
          <w:b/>
          <w:bCs/>
        </w:rPr>
        <w:t xml:space="preserve">Program-Specific Information: </w:t>
      </w:r>
      <w:r>
        <w:t>Dat</w:t>
      </w:r>
      <w:r w:rsidR="00ED760F">
        <w:t>e</w:t>
      </w:r>
      <w:r>
        <w:t xml:space="preserve"> Ranges FFS </w:t>
      </w:r>
      <w:r w:rsidR="002D178C">
        <w:t>4</w:t>
      </w:r>
      <w:r>
        <w:t>-1-202</w:t>
      </w:r>
      <w:r w:rsidR="002D178C">
        <w:t>5</w:t>
      </w:r>
      <w:r>
        <w:t xml:space="preserve"> to </w:t>
      </w:r>
      <w:r w:rsidR="002D178C">
        <w:t>3</w:t>
      </w:r>
      <w:r>
        <w:t>-3</w:t>
      </w:r>
      <w:r w:rsidR="00605A12">
        <w:t>1</w:t>
      </w:r>
      <w:r>
        <w:t>-202</w:t>
      </w:r>
      <w:r w:rsidR="00605A12">
        <w:t>6</w:t>
      </w:r>
    </w:p>
    <w:tbl>
      <w:tblPr>
        <w:tblW w:w="8226" w:type="dxa"/>
        <w:jc w:val="center"/>
        <w:tblLayout w:type="fixed"/>
        <w:tblLook w:val="04A0" w:firstRow="1" w:lastRow="0" w:firstColumn="1" w:lastColumn="0" w:noHBand="0" w:noVBand="1"/>
      </w:tblPr>
      <w:tblGrid>
        <w:gridCol w:w="3506"/>
        <w:gridCol w:w="1112"/>
        <w:gridCol w:w="1329"/>
        <w:gridCol w:w="2279"/>
      </w:tblGrid>
      <w:tr w:rsidR="003D4704" w:rsidRPr="00902CF9" w14:paraId="7E639B47" w14:textId="77777777" w:rsidTr="001F3A35">
        <w:trPr>
          <w:trHeight w:val="232"/>
          <w:jc w:val="center"/>
        </w:trPr>
        <w:tc>
          <w:tcPr>
            <w:tcW w:w="350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258BA66" w14:textId="77777777" w:rsidR="003D4704" w:rsidRPr="00902CF9" w:rsidRDefault="003D4704" w:rsidP="001F3A35">
            <w:pPr>
              <w:jc w:val="center"/>
              <w:rPr>
                <w:rFonts w:cs="Arial"/>
                <w:b/>
                <w:bCs/>
                <w:spacing w:val="-3"/>
                <w:szCs w:val="20"/>
              </w:rPr>
            </w:pPr>
            <w:r w:rsidRPr="00902CF9">
              <w:rPr>
                <w:rFonts w:cs="Arial"/>
                <w:b/>
                <w:bCs/>
                <w:spacing w:val="-3"/>
                <w:szCs w:val="20"/>
              </w:rPr>
              <w:t>Drug</w:t>
            </w:r>
          </w:p>
        </w:tc>
        <w:tc>
          <w:tcPr>
            <w:tcW w:w="111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0F37C53" w14:textId="77777777" w:rsidR="003D4704" w:rsidRPr="00902CF9" w:rsidRDefault="003D4704" w:rsidP="001F3A35">
            <w:pPr>
              <w:jc w:val="center"/>
              <w:rPr>
                <w:rFonts w:cs="Arial"/>
                <w:b/>
                <w:bCs/>
                <w:spacing w:val="-3"/>
                <w:szCs w:val="20"/>
              </w:rPr>
            </w:pPr>
            <w:r w:rsidRPr="00902CF9">
              <w:rPr>
                <w:rFonts w:cs="Arial"/>
                <w:b/>
                <w:bCs/>
                <w:spacing w:val="-3"/>
                <w:szCs w:val="20"/>
              </w:rPr>
              <w:t>Claims</w:t>
            </w:r>
          </w:p>
        </w:tc>
        <w:tc>
          <w:tcPr>
            <w:tcW w:w="132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7F54882" w14:textId="77777777" w:rsidR="003D4704" w:rsidRPr="00902CF9" w:rsidRDefault="003D4704" w:rsidP="001F3A35">
            <w:pPr>
              <w:jc w:val="center"/>
              <w:rPr>
                <w:rFonts w:cs="Arial"/>
                <w:b/>
                <w:bCs/>
                <w:spacing w:val="-3"/>
                <w:szCs w:val="20"/>
              </w:rPr>
            </w:pPr>
            <w:r w:rsidRPr="00902CF9">
              <w:rPr>
                <w:rFonts w:cs="Arial"/>
                <w:b/>
                <w:bCs/>
                <w:spacing w:val="-3"/>
                <w:szCs w:val="20"/>
              </w:rPr>
              <w:t>Spend</w:t>
            </w:r>
          </w:p>
        </w:tc>
        <w:tc>
          <w:tcPr>
            <w:tcW w:w="227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7EB713A" w14:textId="77777777" w:rsidR="003D4704" w:rsidRPr="00902CF9" w:rsidRDefault="003D4704" w:rsidP="001F3A35">
            <w:pPr>
              <w:jc w:val="center"/>
              <w:rPr>
                <w:rFonts w:cs="Arial"/>
                <w:b/>
                <w:bCs/>
                <w:spacing w:val="-3"/>
                <w:szCs w:val="20"/>
              </w:rPr>
            </w:pPr>
            <w:r w:rsidRPr="00902CF9">
              <w:rPr>
                <w:rFonts w:cs="Arial"/>
                <w:b/>
                <w:spacing w:val="-3"/>
                <w:szCs w:val="20"/>
              </w:rPr>
              <w:t>Avg Spend per Claim</w:t>
            </w:r>
          </w:p>
        </w:tc>
      </w:tr>
      <w:tr w:rsidR="00F87CCE" w:rsidRPr="00902CF9" w14:paraId="29C2C6B5" w14:textId="77777777" w:rsidTr="001F3A35">
        <w:trPr>
          <w:trHeight w:val="232"/>
          <w:jc w:val="center"/>
        </w:trPr>
        <w:tc>
          <w:tcPr>
            <w:tcW w:w="3506" w:type="dxa"/>
            <w:tcBorders>
              <w:top w:val="single" w:sz="4" w:space="0" w:color="auto"/>
              <w:left w:val="single" w:sz="4" w:space="0" w:color="auto"/>
              <w:bottom w:val="single" w:sz="4" w:space="0" w:color="auto"/>
              <w:right w:val="single" w:sz="4" w:space="0" w:color="auto"/>
            </w:tcBorders>
            <w:vAlign w:val="bottom"/>
          </w:tcPr>
          <w:p w14:paraId="4E48F17F" w14:textId="57AAE969" w:rsidR="00F87CCE" w:rsidRPr="00902CF9" w:rsidRDefault="00605A12" w:rsidP="00F87CCE">
            <w:pPr>
              <w:rPr>
                <w:rFonts w:cs="Arial"/>
                <w:szCs w:val="20"/>
              </w:rPr>
            </w:pPr>
            <w:r w:rsidRPr="00605A12">
              <w:rPr>
                <w:rFonts w:cs="Arial"/>
                <w:szCs w:val="20"/>
              </w:rPr>
              <w:t>REBLOZYL 25 MG VIAL</w:t>
            </w:r>
          </w:p>
        </w:tc>
        <w:tc>
          <w:tcPr>
            <w:tcW w:w="1112" w:type="dxa"/>
            <w:tcBorders>
              <w:top w:val="single" w:sz="4" w:space="0" w:color="auto"/>
              <w:left w:val="single" w:sz="4" w:space="0" w:color="auto"/>
              <w:bottom w:val="single" w:sz="4" w:space="0" w:color="auto"/>
              <w:right w:val="single" w:sz="4" w:space="0" w:color="auto"/>
            </w:tcBorders>
            <w:vAlign w:val="bottom"/>
          </w:tcPr>
          <w:p w14:paraId="5F6574F8" w14:textId="2CE1E0EA" w:rsidR="00F87CCE" w:rsidRPr="00902CF9" w:rsidRDefault="00605A12" w:rsidP="00F87CCE">
            <w:pPr>
              <w:jc w:val="center"/>
              <w:rPr>
                <w:rFonts w:cs="Arial"/>
                <w:szCs w:val="20"/>
              </w:rPr>
            </w:pPr>
            <w:r w:rsidRPr="00605A12">
              <w:rPr>
                <w:rFonts w:cs="Arial"/>
                <w:szCs w:val="20"/>
              </w:rPr>
              <w:t>35</w:t>
            </w:r>
          </w:p>
        </w:tc>
        <w:tc>
          <w:tcPr>
            <w:tcW w:w="1329" w:type="dxa"/>
            <w:tcBorders>
              <w:top w:val="single" w:sz="4" w:space="0" w:color="auto"/>
              <w:left w:val="single" w:sz="4" w:space="0" w:color="auto"/>
              <w:bottom w:val="single" w:sz="4" w:space="0" w:color="auto"/>
              <w:right w:val="single" w:sz="4" w:space="0" w:color="auto"/>
            </w:tcBorders>
            <w:vAlign w:val="bottom"/>
          </w:tcPr>
          <w:p w14:paraId="52453425" w14:textId="0404A901" w:rsidR="00F87CCE" w:rsidRPr="00902CF9" w:rsidRDefault="00843F06" w:rsidP="00F87CCE">
            <w:pPr>
              <w:jc w:val="right"/>
              <w:rPr>
                <w:rFonts w:cs="Arial"/>
                <w:szCs w:val="20"/>
              </w:rPr>
            </w:pPr>
            <w:r w:rsidRPr="00843F06">
              <w:rPr>
                <w:rFonts w:cs="Arial"/>
                <w:szCs w:val="20"/>
              </w:rPr>
              <w:t>$189,509.05</w:t>
            </w:r>
          </w:p>
        </w:tc>
        <w:tc>
          <w:tcPr>
            <w:tcW w:w="2279" w:type="dxa"/>
            <w:tcBorders>
              <w:top w:val="single" w:sz="4" w:space="0" w:color="auto"/>
              <w:left w:val="single" w:sz="4" w:space="0" w:color="auto"/>
              <w:bottom w:val="single" w:sz="4" w:space="0" w:color="auto"/>
              <w:right w:val="single" w:sz="4" w:space="0" w:color="auto"/>
            </w:tcBorders>
            <w:vAlign w:val="bottom"/>
          </w:tcPr>
          <w:p w14:paraId="43EE586B" w14:textId="35476180" w:rsidR="00F87CCE" w:rsidRPr="00902CF9" w:rsidRDefault="00843F06" w:rsidP="00F87CCE">
            <w:pPr>
              <w:jc w:val="right"/>
              <w:rPr>
                <w:rFonts w:cs="Arial"/>
                <w:szCs w:val="20"/>
              </w:rPr>
            </w:pPr>
            <w:r w:rsidRPr="00843F06">
              <w:rPr>
                <w:rFonts w:cs="Arial"/>
                <w:szCs w:val="20"/>
              </w:rPr>
              <w:t>$5,414.54</w:t>
            </w:r>
          </w:p>
        </w:tc>
      </w:tr>
      <w:tr w:rsidR="00F87CCE" w:rsidRPr="00902CF9" w14:paraId="0A1EF85E" w14:textId="77777777" w:rsidTr="001F3A35">
        <w:trPr>
          <w:trHeight w:val="232"/>
          <w:jc w:val="center"/>
        </w:trPr>
        <w:tc>
          <w:tcPr>
            <w:tcW w:w="3506" w:type="dxa"/>
            <w:tcBorders>
              <w:top w:val="single" w:sz="4" w:space="0" w:color="auto"/>
              <w:left w:val="single" w:sz="4" w:space="0" w:color="auto"/>
              <w:bottom w:val="single" w:sz="4" w:space="0" w:color="auto"/>
              <w:right w:val="single" w:sz="4" w:space="0" w:color="auto"/>
            </w:tcBorders>
            <w:vAlign w:val="bottom"/>
          </w:tcPr>
          <w:p w14:paraId="77B43C05" w14:textId="51BAF42E" w:rsidR="00F87CCE" w:rsidRPr="00902CF9" w:rsidRDefault="008D2A85" w:rsidP="00F87CCE">
            <w:pPr>
              <w:rPr>
                <w:rFonts w:cs="Arial"/>
                <w:szCs w:val="20"/>
              </w:rPr>
            </w:pPr>
            <w:r w:rsidRPr="008D2A85">
              <w:rPr>
                <w:rFonts w:cs="Arial"/>
                <w:szCs w:val="20"/>
              </w:rPr>
              <w:t>REBLOZYL 75 MG VIAL</w:t>
            </w:r>
          </w:p>
        </w:tc>
        <w:tc>
          <w:tcPr>
            <w:tcW w:w="1112" w:type="dxa"/>
            <w:tcBorders>
              <w:top w:val="single" w:sz="4" w:space="0" w:color="auto"/>
              <w:left w:val="single" w:sz="4" w:space="0" w:color="auto"/>
              <w:bottom w:val="single" w:sz="4" w:space="0" w:color="auto"/>
              <w:right w:val="single" w:sz="4" w:space="0" w:color="auto"/>
            </w:tcBorders>
            <w:vAlign w:val="bottom"/>
          </w:tcPr>
          <w:p w14:paraId="586F93BC" w14:textId="114F7212" w:rsidR="00F87CCE" w:rsidRPr="00902CF9" w:rsidRDefault="008D2A85" w:rsidP="00F87CCE">
            <w:pPr>
              <w:jc w:val="center"/>
              <w:rPr>
                <w:rFonts w:cs="Arial"/>
                <w:szCs w:val="20"/>
              </w:rPr>
            </w:pPr>
            <w:r w:rsidRPr="008D2A85">
              <w:rPr>
                <w:rFonts w:cs="Arial"/>
                <w:szCs w:val="20"/>
              </w:rPr>
              <w:t>51</w:t>
            </w:r>
          </w:p>
        </w:tc>
        <w:tc>
          <w:tcPr>
            <w:tcW w:w="1329" w:type="dxa"/>
            <w:tcBorders>
              <w:top w:val="single" w:sz="4" w:space="0" w:color="auto"/>
              <w:left w:val="single" w:sz="4" w:space="0" w:color="auto"/>
              <w:bottom w:val="single" w:sz="4" w:space="0" w:color="auto"/>
              <w:right w:val="single" w:sz="4" w:space="0" w:color="auto"/>
            </w:tcBorders>
            <w:vAlign w:val="bottom"/>
          </w:tcPr>
          <w:p w14:paraId="4B838051" w14:textId="60829909" w:rsidR="00F87CCE" w:rsidRPr="00902CF9" w:rsidRDefault="008D2A85" w:rsidP="00F87CCE">
            <w:pPr>
              <w:jc w:val="right"/>
              <w:rPr>
                <w:rFonts w:cs="Arial"/>
                <w:szCs w:val="20"/>
              </w:rPr>
            </w:pPr>
            <w:r w:rsidRPr="008D2A85">
              <w:rPr>
                <w:rFonts w:cs="Arial"/>
                <w:szCs w:val="20"/>
              </w:rPr>
              <w:t>$538,941.34</w:t>
            </w:r>
          </w:p>
        </w:tc>
        <w:tc>
          <w:tcPr>
            <w:tcW w:w="2279" w:type="dxa"/>
            <w:tcBorders>
              <w:top w:val="single" w:sz="4" w:space="0" w:color="auto"/>
              <w:left w:val="single" w:sz="4" w:space="0" w:color="auto"/>
              <w:bottom w:val="single" w:sz="4" w:space="0" w:color="auto"/>
              <w:right w:val="single" w:sz="4" w:space="0" w:color="auto"/>
            </w:tcBorders>
            <w:vAlign w:val="bottom"/>
          </w:tcPr>
          <w:p w14:paraId="0EDE8848" w14:textId="73635444" w:rsidR="00F87CCE" w:rsidRPr="00902CF9" w:rsidRDefault="00213545" w:rsidP="00F87CCE">
            <w:pPr>
              <w:jc w:val="right"/>
              <w:rPr>
                <w:rFonts w:cs="Arial"/>
                <w:szCs w:val="20"/>
              </w:rPr>
            </w:pPr>
            <w:r w:rsidRPr="00213545">
              <w:rPr>
                <w:rFonts w:cs="Arial"/>
                <w:szCs w:val="20"/>
              </w:rPr>
              <w:t>$10,567.48</w:t>
            </w:r>
          </w:p>
        </w:tc>
      </w:tr>
      <w:tr w:rsidR="007E23CE" w:rsidRPr="00902CF9" w14:paraId="0BFBEEEE" w14:textId="77777777" w:rsidTr="001F3A35">
        <w:trPr>
          <w:trHeight w:val="232"/>
          <w:jc w:val="center"/>
        </w:trPr>
        <w:tc>
          <w:tcPr>
            <w:tcW w:w="3506" w:type="dxa"/>
            <w:tcBorders>
              <w:top w:val="single" w:sz="4" w:space="0" w:color="auto"/>
              <w:left w:val="single" w:sz="4" w:space="0" w:color="auto"/>
              <w:bottom w:val="single" w:sz="4" w:space="0" w:color="auto"/>
              <w:right w:val="single" w:sz="4" w:space="0" w:color="auto"/>
            </w:tcBorders>
            <w:vAlign w:val="bottom"/>
          </w:tcPr>
          <w:p w14:paraId="6C9D1D8A" w14:textId="52A057DC" w:rsidR="007E23CE" w:rsidRPr="00213545" w:rsidRDefault="007E23CE" w:rsidP="00F87CCE">
            <w:pPr>
              <w:rPr>
                <w:rFonts w:cs="Arial"/>
                <w:szCs w:val="20"/>
              </w:rPr>
            </w:pPr>
            <w:r w:rsidRPr="007E23CE">
              <w:rPr>
                <w:rFonts w:cs="Arial"/>
                <w:szCs w:val="20"/>
              </w:rPr>
              <w:t>RYTELO 47 MG VIAL</w:t>
            </w:r>
          </w:p>
        </w:tc>
        <w:tc>
          <w:tcPr>
            <w:tcW w:w="1112" w:type="dxa"/>
            <w:tcBorders>
              <w:top w:val="single" w:sz="4" w:space="0" w:color="auto"/>
              <w:left w:val="single" w:sz="4" w:space="0" w:color="auto"/>
              <w:bottom w:val="single" w:sz="4" w:space="0" w:color="auto"/>
              <w:right w:val="single" w:sz="4" w:space="0" w:color="auto"/>
            </w:tcBorders>
            <w:vAlign w:val="bottom"/>
          </w:tcPr>
          <w:p w14:paraId="6283159E" w14:textId="25F4584F" w:rsidR="007E23CE" w:rsidRPr="00213545" w:rsidRDefault="00016B98" w:rsidP="00F87CCE">
            <w:pPr>
              <w:jc w:val="center"/>
              <w:rPr>
                <w:rFonts w:cs="Arial"/>
                <w:szCs w:val="20"/>
              </w:rPr>
            </w:pPr>
            <w:r w:rsidRPr="00016B98">
              <w:rPr>
                <w:rFonts w:cs="Arial"/>
                <w:szCs w:val="20"/>
              </w:rPr>
              <w:t>2</w:t>
            </w:r>
          </w:p>
        </w:tc>
        <w:tc>
          <w:tcPr>
            <w:tcW w:w="1329" w:type="dxa"/>
            <w:tcBorders>
              <w:top w:val="single" w:sz="4" w:space="0" w:color="auto"/>
              <w:left w:val="single" w:sz="4" w:space="0" w:color="auto"/>
              <w:bottom w:val="single" w:sz="4" w:space="0" w:color="auto"/>
              <w:right w:val="single" w:sz="4" w:space="0" w:color="auto"/>
            </w:tcBorders>
            <w:vAlign w:val="bottom"/>
          </w:tcPr>
          <w:p w14:paraId="59E12A2F" w14:textId="4A654E25" w:rsidR="007E23CE" w:rsidRPr="007E23CE" w:rsidRDefault="00016B98" w:rsidP="00F87CCE">
            <w:pPr>
              <w:jc w:val="right"/>
              <w:rPr>
                <w:rFonts w:cs="Arial"/>
                <w:szCs w:val="20"/>
              </w:rPr>
            </w:pPr>
            <w:r w:rsidRPr="00016B98">
              <w:rPr>
                <w:rFonts w:cs="Arial"/>
                <w:szCs w:val="20"/>
              </w:rPr>
              <w:t>$12,342.34</w:t>
            </w:r>
          </w:p>
        </w:tc>
        <w:tc>
          <w:tcPr>
            <w:tcW w:w="2279" w:type="dxa"/>
            <w:tcBorders>
              <w:top w:val="single" w:sz="4" w:space="0" w:color="auto"/>
              <w:left w:val="single" w:sz="4" w:space="0" w:color="auto"/>
              <w:bottom w:val="single" w:sz="4" w:space="0" w:color="auto"/>
              <w:right w:val="single" w:sz="4" w:space="0" w:color="auto"/>
            </w:tcBorders>
            <w:vAlign w:val="bottom"/>
          </w:tcPr>
          <w:p w14:paraId="2E1C3A79" w14:textId="4DDDEB7D" w:rsidR="007E23CE" w:rsidRPr="007E23CE" w:rsidRDefault="00016B98" w:rsidP="00F87CCE">
            <w:pPr>
              <w:jc w:val="right"/>
              <w:rPr>
                <w:rFonts w:cs="Arial"/>
                <w:szCs w:val="20"/>
              </w:rPr>
            </w:pPr>
            <w:r w:rsidRPr="00016B98">
              <w:rPr>
                <w:rFonts w:cs="Arial"/>
                <w:szCs w:val="20"/>
              </w:rPr>
              <w:t>$6,171.17</w:t>
            </w:r>
          </w:p>
        </w:tc>
      </w:tr>
      <w:tr w:rsidR="00A82EE4" w:rsidRPr="00902CF9" w14:paraId="1F670CD9" w14:textId="77777777" w:rsidTr="001F3A35">
        <w:trPr>
          <w:trHeight w:val="232"/>
          <w:jc w:val="center"/>
        </w:trPr>
        <w:tc>
          <w:tcPr>
            <w:tcW w:w="3506" w:type="dxa"/>
            <w:tcBorders>
              <w:top w:val="single" w:sz="4" w:space="0" w:color="auto"/>
              <w:left w:val="single" w:sz="4" w:space="0" w:color="auto"/>
              <w:bottom w:val="single" w:sz="4" w:space="0" w:color="auto"/>
              <w:right w:val="single" w:sz="4" w:space="0" w:color="auto"/>
            </w:tcBorders>
            <w:vAlign w:val="bottom"/>
          </w:tcPr>
          <w:p w14:paraId="59915BD8" w14:textId="551750B9" w:rsidR="00A82EE4" w:rsidRPr="007E23CE" w:rsidRDefault="00A82EE4" w:rsidP="00A82EE4">
            <w:pPr>
              <w:rPr>
                <w:rFonts w:cs="Arial"/>
                <w:szCs w:val="20"/>
              </w:rPr>
            </w:pPr>
            <w:r w:rsidRPr="00213545">
              <w:rPr>
                <w:rFonts w:cs="Arial"/>
                <w:szCs w:val="20"/>
              </w:rPr>
              <w:t>RYTELO 188 MG VIAL</w:t>
            </w:r>
          </w:p>
        </w:tc>
        <w:tc>
          <w:tcPr>
            <w:tcW w:w="1112" w:type="dxa"/>
            <w:tcBorders>
              <w:top w:val="single" w:sz="4" w:space="0" w:color="auto"/>
              <w:left w:val="single" w:sz="4" w:space="0" w:color="auto"/>
              <w:bottom w:val="single" w:sz="4" w:space="0" w:color="auto"/>
              <w:right w:val="single" w:sz="4" w:space="0" w:color="auto"/>
            </w:tcBorders>
            <w:vAlign w:val="bottom"/>
          </w:tcPr>
          <w:p w14:paraId="387D54DF" w14:textId="7A80B2A1" w:rsidR="00A82EE4" w:rsidRPr="00016B98" w:rsidRDefault="00A82EE4" w:rsidP="00A82EE4">
            <w:pPr>
              <w:jc w:val="center"/>
              <w:rPr>
                <w:rFonts w:cs="Arial"/>
                <w:szCs w:val="20"/>
              </w:rPr>
            </w:pPr>
            <w:r w:rsidRPr="00213545">
              <w:rPr>
                <w:rFonts w:cs="Arial"/>
                <w:szCs w:val="20"/>
              </w:rPr>
              <w:t>2</w:t>
            </w:r>
          </w:p>
        </w:tc>
        <w:tc>
          <w:tcPr>
            <w:tcW w:w="1329" w:type="dxa"/>
            <w:tcBorders>
              <w:top w:val="single" w:sz="4" w:space="0" w:color="auto"/>
              <w:left w:val="single" w:sz="4" w:space="0" w:color="auto"/>
              <w:bottom w:val="single" w:sz="4" w:space="0" w:color="auto"/>
              <w:right w:val="single" w:sz="4" w:space="0" w:color="auto"/>
            </w:tcBorders>
            <w:vAlign w:val="bottom"/>
          </w:tcPr>
          <w:p w14:paraId="3B2DBBF7" w14:textId="3651BA22" w:rsidR="00A82EE4" w:rsidRPr="00016B98" w:rsidRDefault="00A82EE4" w:rsidP="00A82EE4">
            <w:pPr>
              <w:jc w:val="right"/>
              <w:rPr>
                <w:rFonts w:cs="Arial"/>
                <w:szCs w:val="20"/>
              </w:rPr>
            </w:pPr>
            <w:r w:rsidRPr="007E23CE">
              <w:rPr>
                <w:rFonts w:cs="Arial"/>
                <w:szCs w:val="20"/>
              </w:rPr>
              <w:t>$32,735.56</w:t>
            </w:r>
          </w:p>
        </w:tc>
        <w:tc>
          <w:tcPr>
            <w:tcW w:w="2279" w:type="dxa"/>
            <w:tcBorders>
              <w:top w:val="single" w:sz="4" w:space="0" w:color="auto"/>
              <w:left w:val="single" w:sz="4" w:space="0" w:color="auto"/>
              <w:bottom w:val="single" w:sz="4" w:space="0" w:color="auto"/>
              <w:right w:val="single" w:sz="4" w:space="0" w:color="auto"/>
            </w:tcBorders>
            <w:vAlign w:val="bottom"/>
          </w:tcPr>
          <w:p w14:paraId="6490BB1C" w14:textId="785E76B3" w:rsidR="00A82EE4" w:rsidRPr="00016B98" w:rsidRDefault="00A82EE4" w:rsidP="00A82EE4">
            <w:pPr>
              <w:jc w:val="right"/>
              <w:rPr>
                <w:rFonts w:cs="Arial"/>
                <w:szCs w:val="20"/>
              </w:rPr>
            </w:pPr>
            <w:r w:rsidRPr="007E23CE">
              <w:rPr>
                <w:rFonts w:cs="Arial"/>
                <w:szCs w:val="20"/>
              </w:rPr>
              <w:t>$16,367.78</w:t>
            </w:r>
          </w:p>
        </w:tc>
      </w:tr>
      <w:tr w:rsidR="00A82EE4" w:rsidRPr="00902CF9" w14:paraId="57691D6A" w14:textId="77777777" w:rsidTr="001F3A35">
        <w:trPr>
          <w:trHeight w:val="232"/>
          <w:jc w:val="center"/>
        </w:trPr>
        <w:tc>
          <w:tcPr>
            <w:tcW w:w="3506" w:type="dxa"/>
            <w:tcBorders>
              <w:top w:val="single" w:sz="4" w:space="0" w:color="auto"/>
              <w:left w:val="single" w:sz="4" w:space="0" w:color="auto"/>
              <w:bottom w:val="single" w:sz="4" w:space="0" w:color="auto"/>
              <w:right w:val="single" w:sz="4" w:space="0" w:color="auto"/>
            </w:tcBorders>
            <w:vAlign w:val="bottom"/>
          </w:tcPr>
          <w:p w14:paraId="37EADD69" w14:textId="0D4314C1" w:rsidR="00A82EE4" w:rsidRPr="00C60968" w:rsidRDefault="00A82EE4" w:rsidP="00A82EE4">
            <w:pPr>
              <w:rPr>
                <w:rFonts w:cs="Arial"/>
                <w:b/>
                <w:bCs/>
                <w:szCs w:val="20"/>
              </w:rPr>
            </w:pPr>
            <w:r w:rsidRPr="00C60968">
              <w:rPr>
                <w:rFonts w:cs="Arial"/>
                <w:b/>
                <w:bCs/>
                <w:szCs w:val="20"/>
              </w:rPr>
              <w:t>Total</w:t>
            </w:r>
          </w:p>
        </w:tc>
        <w:tc>
          <w:tcPr>
            <w:tcW w:w="1112" w:type="dxa"/>
            <w:tcBorders>
              <w:top w:val="single" w:sz="4" w:space="0" w:color="auto"/>
              <w:left w:val="single" w:sz="4" w:space="0" w:color="auto"/>
              <w:bottom w:val="single" w:sz="4" w:space="0" w:color="auto"/>
              <w:right w:val="single" w:sz="4" w:space="0" w:color="auto"/>
            </w:tcBorders>
            <w:vAlign w:val="bottom"/>
          </w:tcPr>
          <w:p w14:paraId="483CE188" w14:textId="21BA9502" w:rsidR="00A82EE4" w:rsidRPr="00C60968" w:rsidRDefault="00A82EE4" w:rsidP="00A82EE4">
            <w:pPr>
              <w:jc w:val="center"/>
              <w:rPr>
                <w:rFonts w:cs="Arial"/>
                <w:b/>
                <w:bCs/>
                <w:szCs w:val="20"/>
              </w:rPr>
            </w:pPr>
            <w:r w:rsidRPr="00C60968">
              <w:rPr>
                <w:rFonts w:cs="Arial"/>
                <w:b/>
                <w:bCs/>
                <w:szCs w:val="20"/>
              </w:rPr>
              <w:t>90</w:t>
            </w:r>
          </w:p>
        </w:tc>
        <w:tc>
          <w:tcPr>
            <w:tcW w:w="1329" w:type="dxa"/>
            <w:tcBorders>
              <w:top w:val="single" w:sz="4" w:space="0" w:color="auto"/>
              <w:left w:val="single" w:sz="4" w:space="0" w:color="auto"/>
              <w:bottom w:val="single" w:sz="4" w:space="0" w:color="auto"/>
              <w:right w:val="single" w:sz="4" w:space="0" w:color="auto"/>
            </w:tcBorders>
            <w:vAlign w:val="bottom"/>
          </w:tcPr>
          <w:p w14:paraId="62A4F6D2" w14:textId="0B1D4A10" w:rsidR="00A82EE4" w:rsidRPr="00C60968" w:rsidRDefault="00A82EE4" w:rsidP="00A82EE4">
            <w:pPr>
              <w:jc w:val="right"/>
              <w:rPr>
                <w:rFonts w:cs="Arial"/>
                <w:b/>
                <w:bCs/>
                <w:szCs w:val="20"/>
              </w:rPr>
            </w:pPr>
            <w:r w:rsidRPr="00C60968">
              <w:rPr>
                <w:rFonts w:cs="Arial"/>
                <w:b/>
                <w:bCs/>
                <w:szCs w:val="20"/>
              </w:rPr>
              <w:t>$773,528.29</w:t>
            </w:r>
          </w:p>
        </w:tc>
        <w:tc>
          <w:tcPr>
            <w:tcW w:w="2279" w:type="dxa"/>
            <w:tcBorders>
              <w:top w:val="single" w:sz="4" w:space="0" w:color="auto"/>
              <w:left w:val="single" w:sz="4" w:space="0" w:color="auto"/>
              <w:bottom w:val="single" w:sz="4" w:space="0" w:color="auto"/>
              <w:right w:val="single" w:sz="4" w:space="0" w:color="auto"/>
            </w:tcBorders>
            <w:vAlign w:val="bottom"/>
          </w:tcPr>
          <w:p w14:paraId="6D9DBD03" w14:textId="10E7A0C6" w:rsidR="00A82EE4" w:rsidRPr="00C60968" w:rsidRDefault="00A82EE4" w:rsidP="00A82EE4">
            <w:pPr>
              <w:jc w:val="right"/>
              <w:rPr>
                <w:rFonts w:cs="Arial"/>
                <w:b/>
                <w:bCs/>
                <w:szCs w:val="20"/>
              </w:rPr>
            </w:pPr>
            <w:r w:rsidRPr="00C60968">
              <w:rPr>
                <w:rFonts w:cs="Arial"/>
                <w:b/>
                <w:bCs/>
                <w:szCs w:val="20"/>
              </w:rPr>
              <w:t>$8,594.76</w:t>
            </w:r>
          </w:p>
        </w:tc>
      </w:tr>
    </w:tbl>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39A29C77" w:rsidR="0097028A" w:rsidRPr="0079438F" w:rsidRDefault="0097028A" w:rsidP="00696E3A">
      <w:pPr>
        <w:rPr>
          <w:b/>
        </w:rPr>
      </w:pPr>
      <w:r w:rsidRPr="00696E3A">
        <w:rPr>
          <w:b/>
          <w:bCs/>
        </w:rPr>
        <w:t>Drug class for review:</w:t>
      </w:r>
      <w:r w:rsidRPr="00C02553">
        <w:t xml:space="preserve"> </w:t>
      </w:r>
      <w:r w:rsidR="0054117B" w:rsidRPr="0054117B">
        <w:t>Agents for Myelodysplastic Syndromes</w:t>
      </w:r>
    </w:p>
    <w:p w14:paraId="7F2A9816" w14:textId="10F3F897" w:rsidR="005328B2" w:rsidRDefault="0097028A" w:rsidP="005328B2">
      <w:pPr>
        <w:rPr>
          <w:rFonts w:cs="Arial"/>
        </w:rPr>
      </w:pPr>
      <w:r w:rsidRPr="00696E3A">
        <w:rPr>
          <w:b/>
          <w:bCs/>
        </w:rPr>
        <w:t>Age range:</w:t>
      </w:r>
      <w:r w:rsidRPr="00C02553">
        <w:t xml:space="preserve"> </w:t>
      </w:r>
      <w:r w:rsidR="00D64393" w:rsidRPr="00D64393">
        <w:rPr>
          <w:rFonts w:cs="Arial"/>
        </w:rPr>
        <w:t>All appropriate MO HealthNet participants aged 18 years or older</w:t>
      </w:r>
    </w:p>
    <w:p w14:paraId="1ED07636" w14:textId="77777777" w:rsidR="00D64393" w:rsidRPr="002C2C41" w:rsidRDefault="00D64393"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2ABBE147" w14:textId="77777777" w:rsidR="002F26B7" w:rsidRPr="002F26B7" w:rsidRDefault="002F26B7" w:rsidP="002F26B7">
      <w:pPr>
        <w:rPr>
          <w:rFonts w:cs="Arial"/>
          <w:bCs/>
          <w:szCs w:val="20"/>
          <w:u w:val="single"/>
        </w:rPr>
      </w:pPr>
      <w:r w:rsidRPr="002F26B7">
        <w:rPr>
          <w:rFonts w:cs="Arial"/>
          <w:bCs/>
          <w:szCs w:val="20"/>
          <w:u w:val="single"/>
        </w:rPr>
        <w:t>Initial Therapy:</w:t>
      </w:r>
    </w:p>
    <w:p w14:paraId="04BE316B" w14:textId="77777777" w:rsidR="002F26B7" w:rsidRPr="002F26B7" w:rsidRDefault="002F26B7" w:rsidP="002F26B7">
      <w:pPr>
        <w:numPr>
          <w:ilvl w:val="0"/>
          <w:numId w:val="16"/>
        </w:numPr>
        <w:contextualSpacing/>
        <w:rPr>
          <w:rFonts w:cs="Arial"/>
          <w:bCs/>
          <w:szCs w:val="20"/>
        </w:rPr>
      </w:pPr>
      <w:r w:rsidRPr="002F26B7">
        <w:rPr>
          <w:rFonts w:cs="Arial"/>
          <w:bCs/>
          <w:szCs w:val="20"/>
        </w:rPr>
        <w:t xml:space="preserve">Must meet </w:t>
      </w:r>
      <w:proofErr w:type="gramStart"/>
      <w:r w:rsidRPr="002F26B7">
        <w:rPr>
          <w:rFonts w:cs="Arial"/>
          <w:bCs/>
          <w:szCs w:val="20"/>
        </w:rPr>
        <w:t>all of</w:t>
      </w:r>
      <w:proofErr w:type="gramEnd"/>
      <w:r w:rsidRPr="002F26B7">
        <w:rPr>
          <w:rFonts w:cs="Arial"/>
          <w:bCs/>
          <w:szCs w:val="20"/>
        </w:rPr>
        <w:t xml:space="preserve"> the following:</w:t>
      </w:r>
    </w:p>
    <w:p w14:paraId="0F7A9A6F" w14:textId="77777777" w:rsidR="002F26B7" w:rsidRPr="002F26B7" w:rsidRDefault="002F26B7" w:rsidP="002F26B7">
      <w:pPr>
        <w:numPr>
          <w:ilvl w:val="1"/>
          <w:numId w:val="16"/>
        </w:numPr>
        <w:contextualSpacing/>
        <w:rPr>
          <w:rFonts w:cs="Arial"/>
          <w:bCs/>
          <w:szCs w:val="20"/>
        </w:rPr>
      </w:pPr>
      <w:r w:rsidRPr="002F26B7">
        <w:rPr>
          <w:rFonts w:cs="Arial"/>
          <w:bCs/>
          <w:szCs w:val="20"/>
        </w:rPr>
        <w:t>Participant aged ≥ 18 years or older;</w:t>
      </w:r>
    </w:p>
    <w:p w14:paraId="6D834F84" w14:textId="77777777" w:rsidR="002F26B7" w:rsidRPr="002F26B7" w:rsidRDefault="002F26B7" w:rsidP="002F26B7">
      <w:pPr>
        <w:numPr>
          <w:ilvl w:val="1"/>
          <w:numId w:val="16"/>
        </w:numPr>
        <w:contextualSpacing/>
        <w:rPr>
          <w:rFonts w:cs="Arial"/>
          <w:bCs/>
          <w:szCs w:val="20"/>
        </w:rPr>
      </w:pPr>
      <w:r w:rsidRPr="002F26B7">
        <w:rPr>
          <w:rFonts w:cs="Arial"/>
          <w:bCs/>
          <w:szCs w:val="20"/>
        </w:rPr>
        <w:t xml:space="preserve">Prescribed by or in consultation with an appropriate specialist for the disease state; </w:t>
      </w:r>
      <w:r w:rsidRPr="002F26B7">
        <w:rPr>
          <w:rFonts w:cs="Arial"/>
          <w:b/>
          <w:szCs w:val="20"/>
        </w:rPr>
        <w:t>AND</w:t>
      </w:r>
    </w:p>
    <w:p w14:paraId="618E67D2" w14:textId="77777777" w:rsidR="002F26B7" w:rsidRPr="002F26B7" w:rsidRDefault="002F26B7" w:rsidP="002F26B7">
      <w:pPr>
        <w:numPr>
          <w:ilvl w:val="1"/>
          <w:numId w:val="16"/>
        </w:numPr>
        <w:contextualSpacing/>
        <w:rPr>
          <w:rFonts w:cs="Arial"/>
          <w:bCs/>
          <w:szCs w:val="20"/>
        </w:rPr>
      </w:pPr>
      <w:bookmarkStart w:id="1" w:name="_Hlk40251347"/>
      <w:r w:rsidRPr="002F26B7">
        <w:rPr>
          <w:rFonts w:cs="Arial"/>
          <w:bCs/>
          <w:szCs w:val="20"/>
        </w:rPr>
        <w:t>Participant (of appropriate age) is utilizing concurrent birth control methods:</w:t>
      </w:r>
    </w:p>
    <w:p w14:paraId="2F31E0A5" w14:textId="77777777" w:rsidR="002F26B7" w:rsidRPr="002F26B7" w:rsidRDefault="002F26B7" w:rsidP="002F26B7">
      <w:pPr>
        <w:numPr>
          <w:ilvl w:val="2"/>
          <w:numId w:val="16"/>
        </w:numPr>
        <w:contextualSpacing/>
        <w:rPr>
          <w:rFonts w:cs="Arial"/>
          <w:bCs/>
          <w:szCs w:val="20"/>
        </w:rPr>
      </w:pPr>
      <w:r w:rsidRPr="002F26B7">
        <w:rPr>
          <w:rFonts w:cs="Arial"/>
          <w:bCs/>
          <w:szCs w:val="20"/>
        </w:rPr>
        <w:t>Reblozyl: 1 month prior to treatment, during treatment and for 3 months after last dose.</w:t>
      </w:r>
    </w:p>
    <w:p w14:paraId="2783EF5D" w14:textId="77777777" w:rsidR="002F26B7" w:rsidRPr="002F26B7" w:rsidRDefault="002F26B7" w:rsidP="002F26B7">
      <w:pPr>
        <w:numPr>
          <w:ilvl w:val="2"/>
          <w:numId w:val="16"/>
        </w:numPr>
        <w:contextualSpacing/>
        <w:rPr>
          <w:rFonts w:cs="Arial"/>
          <w:bCs/>
          <w:szCs w:val="20"/>
        </w:rPr>
      </w:pPr>
      <w:r w:rsidRPr="002F26B7">
        <w:rPr>
          <w:rFonts w:cs="Arial"/>
          <w:bCs/>
          <w:szCs w:val="20"/>
        </w:rPr>
        <w:t xml:space="preserve">Rytelo: </w:t>
      </w:r>
      <w:r w:rsidRPr="002F26B7">
        <w:rPr>
          <w:rFonts w:eastAsia="Arial" w:cs="Arial"/>
          <w:bCs/>
          <w:szCs w:val="20"/>
        </w:rPr>
        <w:t>1 month prior to treatment, during treatment and for 1 week after last dose.</w:t>
      </w:r>
    </w:p>
    <w:bookmarkEnd w:id="1"/>
    <w:p w14:paraId="0B8278F6" w14:textId="77777777" w:rsidR="002F26B7" w:rsidRPr="002F26B7" w:rsidRDefault="002F26B7" w:rsidP="002F26B7">
      <w:pPr>
        <w:numPr>
          <w:ilvl w:val="0"/>
          <w:numId w:val="16"/>
        </w:numPr>
        <w:contextualSpacing/>
        <w:rPr>
          <w:rFonts w:cs="Arial"/>
          <w:szCs w:val="20"/>
        </w:rPr>
      </w:pPr>
      <w:r w:rsidRPr="002F26B7">
        <w:rPr>
          <w:rFonts w:cs="Arial"/>
          <w:szCs w:val="20"/>
        </w:rPr>
        <w:t>Additional approval criteria for a documented diagnosis of MDS:</w:t>
      </w:r>
    </w:p>
    <w:p w14:paraId="2767355C" w14:textId="77777777" w:rsidR="002F26B7" w:rsidRPr="002F26B7" w:rsidRDefault="002F26B7" w:rsidP="002F26B7">
      <w:pPr>
        <w:numPr>
          <w:ilvl w:val="1"/>
          <w:numId w:val="16"/>
        </w:numPr>
        <w:contextualSpacing/>
        <w:rPr>
          <w:rFonts w:cs="Arial"/>
          <w:szCs w:val="20"/>
        </w:rPr>
      </w:pPr>
      <w:r w:rsidRPr="002F26B7">
        <w:rPr>
          <w:rFonts w:cs="Arial"/>
          <w:szCs w:val="20"/>
        </w:rPr>
        <w:t>Documented very low to intermediate risk Revised International Prognostic Scoring System (IPSS-R) score (≤ 4.5).</w:t>
      </w:r>
    </w:p>
    <w:p w14:paraId="3D76C28B" w14:textId="77777777" w:rsidR="002F26B7" w:rsidRPr="002F26B7" w:rsidRDefault="002F26B7" w:rsidP="002F26B7">
      <w:pPr>
        <w:numPr>
          <w:ilvl w:val="1"/>
          <w:numId w:val="16"/>
        </w:numPr>
        <w:contextualSpacing/>
        <w:rPr>
          <w:rFonts w:cs="Arial"/>
          <w:szCs w:val="20"/>
        </w:rPr>
      </w:pPr>
      <w:r w:rsidRPr="002F26B7">
        <w:rPr>
          <w:rFonts w:cs="Arial"/>
          <w:szCs w:val="20"/>
        </w:rPr>
        <w:t>Additional approval criteria for Reblozyl:</w:t>
      </w:r>
    </w:p>
    <w:p w14:paraId="10122A36" w14:textId="5A30ABAB" w:rsidR="002F26B7" w:rsidRPr="002F26B7" w:rsidRDefault="002F26B7" w:rsidP="002F26B7">
      <w:pPr>
        <w:numPr>
          <w:ilvl w:val="2"/>
          <w:numId w:val="17"/>
        </w:numPr>
        <w:spacing w:line="276" w:lineRule="auto"/>
        <w:contextualSpacing/>
        <w:rPr>
          <w:rFonts w:eastAsia="Arial" w:cs="Arial"/>
          <w:color w:val="1F497D" w:themeColor="text2"/>
          <w:szCs w:val="20"/>
        </w:rPr>
      </w:pPr>
      <w:r w:rsidRPr="002F26B7">
        <w:rPr>
          <w:rFonts w:cs="Arial"/>
          <w:szCs w:val="20"/>
        </w:rPr>
        <w:t>Documentation of at least 2 or more RBC transfusions</w:t>
      </w:r>
      <w:r w:rsidRPr="002F26B7">
        <w:rPr>
          <w:rFonts w:cs="Arial"/>
          <w:b/>
          <w:bCs/>
          <w:color w:val="1F497D" w:themeColor="text2"/>
          <w:szCs w:val="20"/>
        </w:rPr>
        <w:t xml:space="preserve"> </w:t>
      </w:r>
      <w:r w:rsidRPr="002F26B7">
        <w:rPr>
          <w:rFonts w:eastAsia="Arial" w:cs="Arial"/>
          <w:szCs w:val="20"/>
        </w:rPr>
        <w:t>over 8 weeks in the last 16 weeks</w:t>
      </w:r>
      <w:r w:rsidRPr="002F26B7">
        <w:rPr>
          <w:rFonts w:cs="Arial"/>
          <w:szCs w:val="20"/>
        </w:rPr>
        <w:t>.</w:t>
      </w:r>
    </w:p>
    <w:p w14:paraId="23EA19AF" w14:textId="77777777" w:rsidR="002F26B7" w:rsidRPr="002F26B7" w:rsidRDefault="002F26B7" w:rsidP="002F26B7">
      <w:pPr>
        <w:numPr>
          <w:ilvl w:val="1"/>
          <w:numId w:val="17"/>
        </w:numPr>
        <w:contextualSpacing/>
        <w:rPr>
          <w:rFonts w:cs="Arial"/>
          <w:szCs w:val="20"/>
        </w:rPr>
      </w:pPr>
      <w:r w:rsidRPr="002F26B7">
        <w:rPr>
          <w:rFonts w:cs="Arial"/>
          <w:szCs w:val="20"/>
        </w:rPr>
        <w:t>Additional approval criteria for Rytelo:</w:t>
      </w:r>
    </w:p>
    <w:p w14:paraId="66E80DA9" w14:textId="77777777" w:rsidR="002F26B7" w:rsidRPr="002F26B7" w:rsidRDefault="002F26B7" w:rsidP="002F26B7">
      <w:pPr>
        <w:numPr>
          <w:ilvl w:val="2"/>
          <w:numId w:val="17"/>
        </w:numPr>
        <w:spacing w:after="200"/>
        <w:contextualSpacing/>
        <w:rPr>
          <w:rFonts w:eastAsia="Arial" w:cs="Arial"/>
          <w:szCs w:val="20"/>
        </w:rPr>
      </w:pPr>
      <w:r w:rsidRPr="002F26B7">
        <w:rPr>
          <w:rFonts w:eastAsia="Arial" w:cs="Arial"/>
          <w:szCs w:val="20"/>
        </w:rPr>
        <w:t xml:space="preserve">Documented ESA therapy for at least 6 to 8 weeks in the past year with an inadequate response or contraindication/ADE/ADR to ESA therapy; </w:t>
      </w:r>
      <w:r w:rsidRPr="002F26B7">
        <w:rPr>
          <w:rFonts w:eastAsia="Arial" w:cs="Arial"/>
          <w:b/>
          <w:bCs/>
          <w:szCs w:val="20"/>
        </w:rPr>
        <w:t>AND</w:t>
      </w:r>
    </w:p>
    <w:p w14:paraId="6F610A59" w14:textId="77777777" w:rsidR="002F26B7" w:rsidRPr="002F26B7" w:rsidRDefault="002F26B7" w:rsidP="002F26B7">
      <w:pPr>
        <w:numPr>
          <w:ilvl w:val="2"/>
          <w:numId w:val="17"/>
        </w:numPr>
        <w:spacing w:after="200"/>
        <w:contextualSpacing/>
        <w:rPr>
          <w:rFonts w:eastAsia="Arial" w:cs="Arial"/>
          <w:szCs w:val="20"/>
        </w:rPr>
      </w:pPr>
      <w:r w:rsidRPr="002F26B7">
        <w:rPr>
          <w:rFonts w:eastAsia="Arial" w:cs="Arial"/>
          <w:szCs w:val="20"/>
        </w:rPr>
        <w:t>Documentation of at least 4 or more RBC transfusions over 8 weeks in the last 16 weeks.</w:t>
      </w:r>
    </w:p>
    <w:p w14:paraId="78D6DF21" w14:textId="77777777" w:rsidR="002F26B7" w:rsidRPr="002F26B7" w:rsidRDefault="002F26B7" w:rsidP="002F26B7">
      <w:pPr>
        <w:numPr>
          <w:ilvl w:val="0"/>
          <w:numId w:val="16"/>
        </w:numPr>
        <w:contextualSpacing/>
        <w:rPr>
          <w:rFonts w:cs="Arial"/>
          <w:szCs w:val="20"/>
        </w:rPr>
      </w:pPr>
      <w:r w:rsidRPr="002F26B7">
        <w:rPr>
          <w:rFonts w:cs="Arial"/>
          <w:szCs w:val="20"/>
        </w:rPr>
        <w:t>Additional approval criteria for</w:t>
      </w:r>
      <w:r w:rsidRPr="002F26B7">
        <w:rPr>
          <w:rFonts w:cs="Arial"/>
          <w:bCs/>
          <w:szCs w:val="20"/>
        </w:rPr>
        <w:t xml:space="preserve"> a documented diagnosis of </w:t>
      </w:r>
      <w:r w:rsidRPr="002F26B7">
        <w:rPr>
          <w:rFonts w:cs="Arial"/>
          <w:szCs w:val="20"/>
        </w:rPr>
        <w:t>MDS-RS or MDS/MPN-RS-T:</w:t>
      </w:r>
    </w:p>
    <w:p w14:paraId="663AFD48" w14:textId="77777777" w:rsidR="002F26B7" w:rsidRPr="002F26B7" w:rsidRDefault="002F26B7" w:rsidP="002F26B7">
      <w:pPr>
        <w:numPr>
          <w:ilvl w:val="1"/>
          <w:numId w:val="16"/>
        </w:numPr>
        <w:contextualSpacing/>
        <w:rPr>
          <w:rFonts w:cs="Arial"/>
          <w:szCs w:val="20"/>
        </w:rPr>
      </w:pPr>
      <w:r w:rsidRPr="002F26B7">
        <w:rPr>
          <w:rFonts w:cs="Arial"/>
          <w:szCs w:val="20"/>
        </w:rPr>
        <w:t>Claim is for Reblozyl;</w:t>
      </w:r>
    </w:p>
    <w:p w14:paraId="00139C96" w14:textId="77777777" w:rsidR="002F26B7" w:rsidRPr="002F26B7" w:rsidRDefault="002F26B7" w:rsidP="002F26B7">
      <w:pPr>
        <w:numPr>
          <w:ilvl w:val="1"/>
          <w:numId w:val="16"/>
        </w:numPr>
        <w:contextualSpacing/>
        <w:rPr>
          <w:rFonts w:cs="Arial"/>
          <w:szCs w:val="20"/>
        </w:rPr>
      </w:pPr>
      <w:r w:rsidRPr="002F26B7">
        <w:rPr>
          <w:rFonts w:cs="Arial"/>
          <w:szCs w:val="20"/>
        </w:rPr>
        <w:t>Documented ESA therapy for at least 6 to 8 weeks in the past year with an inadequate response or contraindication/ADE/ADR to ESA therapy;</w:t>
      </w:r>
    </w:p>
    <w:p w14:paraId="0B6AC96A" w14:textId="02869C9E" w:rsidR="002F26B7" w:rsidRPr="002F26B7" w:rsidRDefault="002F26B7" w:rsidP="002F26B7">
      <w:pPr>
        <w:numPr>
          <w:ilvl w:val="1"/>
          <w:numId w:val="16"/>
        </w:numPr>
        <w:contextualSpacing/>
        <w:rPr>
          <w:rFonts w:cs="Arial"/>
          <w:szCs w:val="20"/>
        </w:rPr>
      </w:pPr>
      <w:r w:rsidRPr="002F26B7">
        <w:rPr>
          <w:rFonts w:cs="Arial"/>
          <w:szCs w:val="20"/>
        </w:rPr>
        <w:t xml:space="preserve">Documentation of at least 2 or more RBC transfusions </w:t>
      </w:r>
      <w:r w:rsidRPr="002F26B7">
        <w:rPr>
          <w:rFonts w:eastAsia="Arial" w:cs="Arial"/>
          <w:szCs w:val="20"/>
        </w:rPr>
        <w:t>over 8 weeks in the last 16 weeks</w:t>
      </w:r>
      <w:r w:rsidRPr="002F26B7">
        <w:rPr>
          <w:rFonts w:cs="Arial"/>
          <w:szCs w:val="20"/>
        </w:rPr>
        <w:t xml:space="preserve">; </w:t>
      </w:r>
      <w:r w:rsidRPr="002F26B7">
        <w:rPr>
          <w:rFonts w:cs="Arial"/>
          <w:b/>
          <w:bCs/>
          <w:szCs w:val="20"/>
        </w:rPr>
        <w:t>AND</w:t>
      </w:r>
    </w:p>
    <w:p w14:paraId="1ABD8D5A" w14:textId="77777777" w:rsidR="002F26B7" w:rsidRPr="002F26B7" w:rsidRDefault="002F26B7" w:rsidP="002F26B7">
      <w:pPr>
        <w:numPr>
          <w:ilvl w:val="1"/>
          <w:numId w:val="16"/>
        </w:numPr>
        <w:contextualSpacing/>
        <w:rPr>
          <w:rFonts w:cs="Arial"/>
          <w:szCs w:val="20"/>
        </w:rPr>
      </w:pPr>
      <w:r w:rsidRPr="002F26B7">
        <w:rPr>
          <w:rFonts w:cs="Arial"/>
          <w:szCs w:val="20"/>
        </w:rPr>
        <w:t>For MDS-RS: Documented very low to intermediate risk Revised International Prognostic Scoring System (IPSS-R) score (≤ 4.5).</w:t>
      </w:r>
    </w:p>
    <w:p w14:paraId="74E46C69" w14:textId="77777777" w:rsidR="002F26B7" w:rsidRPr="002F26B7" w:rsidRDefault="002F26B7" w:rsidP="002F26B7">
      <w:pPr>
        <w:numPr>
          <w:ilvl w:val="0"/>
          <w:numId w:val="16"/>
        </w:numPr>
        <w:contextualSpacing/>
        <w:rPr>
          <w:rFonts w:cs="Arial"/>
          <w:bCs/>
          <w:szCs w:val="20"/>
        </w:rPr>
      </w:pPr>
      <w:r w:rsidRPr="002F26B7">
        <w:rPr>
          <w:rFonts w:cs="Arial"/>
          <w:bCs/>
          <w:szCs w:val="20"/>
        </w:rPr>
        <w:t>Additional approval criteria for a documented diagnosis of Beta Thalassemia or Hemoglobin E-beta thalassemia:</w:t>
      </w:r>
    </w:p>
    <w:p w14:paraId="7A1FE10A" w14:textId="77777777" w:rsidR="002F26B7" w:rsidRPr="002F26B7" w:rsidRDefault="002F26B7" w:rsidP="002F26B7">
      <w:pPr>
        <w:numPr>
          <w:ilvl w:val="1"/>
          <w:numId w:val="16"/>
        </w:numPr>
        <w:contextualSpacing/>
        <w:rPr>
          <w:rFonts w:cs="Arial"/>
          <w:bCs/>
          <w:szCs w:val="20"/>
        </w:rPr>
      </w:pPr>
      <w:r w:rsidRPr="002F26B7">
        <w:rPr>
          <w:rFonts w:cs="Arial"/>
          <w:bCs/>
          <w:szCs w:val="20"/>
        </w:rPr>
        <w:t xml:space="preserve">Claim is for Reblozyl; </w:t>
      </w:r>
      <w:r w:rsidRPr="002F26B7">
        <w:rPr>
          <w:rFonts w:cs="Arial"/>
          <w:b/>
          <w:szCs w:val="20"/>
        </w:rPr>
        <w:t>AND</w:t>
      </w:r>
    </w:p>
    <w:p w14:paraId="3409483A" w14:textId="77777777" w:rsidR="002F26B7" w:rsidRPr="002F26B7" w:rsidRDefault="002F26B7" w:rsidP="002F26B7">
      <w:pPr>
        <w:numPr>
          <w:ilvl w:val="1"/>
          <w:numId w:val="16"/>
        </w:numPr>
        <w:contextualSpacing/>
        <w:rPr>
          <w:rFonts w:cs="Arial"/>
          <w:bCs/>
          <w:szCs w:val="20"/>
        </w:rPr>
      </w:pPr>
      <w:r w:rsidRPr="002F26B7">
        <w:rPr>
          <w:rFonts w:cs="Arial"/>
          <w:bCs/>
          <w:szCs w:val="20"/>
        </w:rPr>
        <w:t>Documentation of regular RBC transfusions (defined as 6-20 RBC units per 24 weeks with no transfusion-free period greater than 35 days during that period).</w:t>
      </w:r>
    </w:p>
    <w:p w14:paraId="63249BD4" w14:textId="77777777" w:rsidR="002F26B7" w:rsidRPr="002F26B7" w:rsidRDefault="002F26B7" w:rsidP="002F26B7">
      <w:pPr>
        <w:numPr>
          <w:ilvl w:val="0"/>
          <w:numId w:val="16"/>
        </w:numPr>
        <w:contextualSpacing/>
        <w:rPr>
          <w:rFonts w:cs="Arial"/>
          <w:bCs/>
          <w:szCs w:val="20"/>
        </w:rPr>
      </w:pPr>
      <w:r w:rsidRPr="002F26B7">
        <w:rPr>
          <w:rFonts w:cs="Arial"/>
          <w:bCs/>
          <w:szCs w:val="20"/>
        </w:rPr>
        <w:t>Initial approval period: 3 months.</w:t>
      </w:r>
    </w:p>
    <w:p w14:paraId="0E7B0E27" w14:textId="77777777" w:rsidR="002F26B7" w:rsidRPr="002F26B7" w:rsidRDefault="002F26B7" w:rsidP="002F26B7">
      <w:pPr>
        <w:rPr>
          <w:rFonts w:cs="Arial"/>
          <w:bCs/>
          <w:szCs w:val="20"/>
        </w:rPr>
      </w:pPr>
    </w:p>
    <w:p w14:paraId="21DAA47E" w14:textId="77777777" w:rsidR="002F26B7" w:rsidRPr="002F26B7" w:rsidRDefault="002F26B7" w:rsidP="002F26B7">
      <w:pPr>
        <w:rPr>
          <w:rFonts w:cs="Arial"/>
          <w:bCs/>
          <w:szCs w:val="20"/>
          <w:u w:val="single"/>
        </w:rPr>
      </w:pPr>
      <w:r w:rsidRPr="002F26B7">
        <w:rPr>
          <w:rFonts w:cs="Arial"/>
          <w:bCs/>
          <w:szCs w:val="20"/>
          <w:u w:val="single"/>
        </w:rPr>
        <w:t>Continuation of Therapy:</w:t>
      </w:r>
    </w:p>
    <w:p w14:paraId="5BE543B3" w14:textId="77777777" w:rsidR="002F26B7" w:rsidRPr="002F26B7" w:rsidRDefault="002F26B7" w:rsidP="002F26B7">
      <w:pPr>
        <w:numPr>
          <w:ilvl w:val="0"/>
          <w:numId w:val="16"/>
        </w:numPr>
        <w:contextualSpacing/>
        <w:rPr>
          <w:rFonts w:cs="Arial"/>
          <w:bCs/>
          <w:szCs w:val="20"/>
        </w:rPr>
      </w:pPr>
      <w:r w:rsidRPr="002F26B7">
        <w:rPr>
          <w:rFonts w:cs="Arial"/>
          <w:bCs/>
          <w:szCs w:val="20"/>
        </w:rPr>
        <w:t>Documentation of decrease in RBC transfusion burden.</w:t>
      </w:r>
    </w:p>
    <w:p w14:paraId="05630046" w14:textId="77777777" w:rsidR="002F26B7" w:rsidRPr="002F26B7" w:rsidRDefault="002F26B7" w:rsidP="002F26B7">
      <w:pPr>
        <w:numPr>
          <w:ilvl w:val="0"/>
          <w:numId w:val="16"/>
        </w:numPr>
        <w:contextualSpacing/>
        <w:rPr>
          <w:rFonts w:cs="Arial"/>
          <w:bCs/>
          <w:szCs w:val="20"/>
        </w:rPr>
      </w:pPr>
      <w:r w:rsidRPr="002F26B7">
        <w:rPr>
          <w:rFonts w:cs="Arial"/>
          <w:bCs/>
          <w:szCs w:val="20"/>
        </w:rPr>
        <w:t>Continuation approval period: 12 months.</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1464E9B2" w14:textId="77777777" w:rsidR="00AE54CE" w:rsidRPr="00AE54CE" w:rsidRDefault="00AE54CE" w:rsidP="00AE54CE">
      <w:pPr>
        <w:numPr>
          <w:ilvl w:val="0"/>
          <w:numId w:val="18"/>
        </w:numPr>
        <w:contextualSpacing/>
        <w:rPr>
          <w:rFonts w:cs="Arial"/>
          <w:noProof/>
          <w:szCs w:val="20"/>
        </w:rPr>
      </w:pPr>
      <w:r w:rsidRPr="00AE54CE">
        <w:rPr>
          <w:rFonts w:cs="Arial"/>
          <w:noProof/>
          <w:szCs w:val="20"/>
        </w:rPr>
        <w:t>Therapy will deny with presence of one of the following:</w:t>
      </w:r>
    </w:p>
    <w:p w14:paraId="7E660117" w14:textId="77777777" w:rsidR="00AE54CE" w:rsidRPr="00AE54CE" w:rsidRDefault="00AE54CE" w:rsidP="00AE54CE">
      <w:pPr>
        <w:numPr>
          <w:ilvl w:val="1"/>
          <w:numId w:val="18"/>
        </w:numPr>
        <w:contextualSpacing/>
        <w:rPr>
          <w:rFonts w:cs="Arial"/>
          <w:noProof/>
          <w:szCs w:val="20"/>
        </w:rPr>
      </w:pPr>
      <w:r w:rsidRPr="00AE54CE">
        <w:rPr>
          <w:rFonts w:cs="Arial"/>
          <w:noProof/>
          <w:szCs w:val="20"/>
        </w:rPr>
        <w:t xml:space="preserve">Any approval criteria are not met; </w:t>
      </w:r>
      <w:r w:rsidRPr="00AE54CE">
        <w:rPr>
          <w:rFonts w:cs="Arial"/>
          <w:b/>
          <w:bCs/>
          <w:noProof/>
          <w:szCs w:val="20"/>
        </w:rPr>
        <w:t>OR</w:t>
      </w:r>
    </w:p>
    <w:p w14:paraId="2A44CEBC" w14:textId="77777777" w:rsidR="00AE54CE" w:rsidRPr="00AE54CE" w:rsidRDefault="00AE54CE" w:rsidP="00AE54CE">
      <w:pPr>
        <w:numPr>
          <w:ilvl w:val="1"/>
          <w:numId w:val="18"/>
        </w:numPr>
        <w:contextualSpacing/>
        <w:rPr>
          <w:rFonts w:cs="Arial"/>
          <w:noProof/>
          <w:szCs w:val="20"/>
        </w:rPr>
      </w:pPr>
      <w:r w:rsidRPr="00AE54CE">
        <w:rPr>
          <w:rFonts w:cs="Arial"/>
          <w:bCs/>
          <w:szCs w:val="20"/>
        </w:rPr>
        <w:t>Participant is currently pregnant.</w:t>
      </w:r>
    </w:p>
    <w:p w14:paraId="2CBBD40C" w14:textId="77777777" w:rsidR="00AE54CE" w:rsidRPr="00AE54CE" w:rsidRDefault="00AE54CE" w:rsidP="00AE54CE">
      <w:pPr>
        <w:numPr>
          <w:ilvl w:val="0"/>
          <w:numId w:val="18"/>
        </w:numPr>
        <w:contextualSpacing/>
        <w:rPr>
          <w:rFonts w:cs="Arial"/>
          <w:noProof/>
          <w:szCs w:val="20"/>
        </w:rPr>
      </w:pPr>
      <w:r w:rsidRPr="00AE54CE">
        <w:rPr>
          <w:rFonts w:cs="Arial"/>
          <w:noProof/>
          <w:szCs w:val="20"/>
        </w:rPr>
        <w:t>Additional denial criteria for a diagnosis of Beta Thalassemia:</w:t>
      </w:r>
    </w:p>
    <w:p w14:paraId="3CC28A5B" w14:textId="77777777" w:rsidR="00AE54CE" w:rsidRPr="00AE54CE" w:rsidRDefault="00AE54CE" w:rsidP="00AE54CE">
      <w:pPr>
        <w:numPr>
          <w:ilvl w:val="1"/>
          <w:numId w:val="18"/>
        </w:numPr>
        <w:contextualSpacing/>
        <w:rPr>
          <w:rFonts w:cs="Arial"/>
          <w:noProof/>
          <w:szCs w:val="20"/>
        </w:rPr>
      </w:pPr>
      <w:r w:rsidRPr="00AE54CE">
        <w:rPr>
          <w:rFonts w:cs="Arial"/>
          <w:noProof/>
          <w:szCs w:val="20"/>
        </w:rPr>
        <w:t>Documented diagnosis of deep vein thrombosis in the past 6 months;</w:t>
      </w:r>
    </w:p>
    <w:p w14:paraId="0E428F2B" w14:textId="77777777" w:rsidR="00AE54CE" w:rsidRPr="00AE54CE" w:rsidRDefault="00AE54CE" w:rsidP="00AE54CE">
      <w:pPr>
        <w:numPr>
          <w:ilvl w:val="1"/>
          <w:numId w:val="18"/>
        </w:numPr>
        <w:contextualSpacing/>
        <w:rPr>
          <w:rFonts w:cs="Arial"/>
          <w:noProof/>
          <w:szCs w:val="20"/>
        </w:rPr>
      </w:pPr>
      <w:r w:rsidRPr="00AE54CE">
        <w:rPr>
          <w:rFonts w:cs="Arial"/>
          <w:noProof/>
          <w:szCs w:val="20"/>
        </w:rPr>
        <w:t xml:space="preserve">Documented diagnosis of a stroke in the past 6 months; </w:t>
      </w:r>
      <w:r w:rsidRPr="00AE54CE">
        <w:rPr>
          <w:rFonts w:cs="Arial"/>
          <w:b/>
          <w:bCs/>
          <w:noProof/>
          <w:szCs w:val="20"/>
        </w:rPr>
        <w:t>OR</w:t>
      </w:r>
    </w:p>
    <w:p w14:paraId="2A7B0A63" w14:textId="77777777" w:rsidR="00AE54CE" w:rsidRPr="00AE54CE" w:rsidRDefault="00AE54CE" w:rsidP="00AE54CE">
      <w:pPr>
        <w:numPr>
          <w:ilvl w:val="1"/>
          <w:numId w:val="18"/>
        </w:numPr>
        <w:contextualSpacing/>
        <w:rPr>
          <w:rFonts w:cs="Arial"/>
          <w:noProof/>
          <w:szCs w:val="20"/>
        </w:rPr>
      </w:pPr>
      <w:r w:rsidRPr="00AE54CE">
        <w:rPr>
          <w:rFonts w:cs="Arial"/>
          <w:noProof/>
          <w:szCs w:val="20"/>
        </w:rPr>
        <w:t>Claim for an erythropoietin stimulating agent (ESA) in the past 6 months.</w:t>
      </w:r>
    </w:p>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2" w:name="_Hlk34120952"/>
      <w:r w:rsidRPr="00C02553">
        <w:rPr>
          <w:lang w:val="en-US"/>
        </w:rPr>
        <w:lastRenderedPageBreak/>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2801275E" w14:textId="77777777" w:rsidR="00821C32" w:rsidRPr="00821C32" w:rsidRDefault="00343D6B" w:rsidP="00821C32">
      <w:pPr>
        <w:rPr>
          <w:rFonts w:cs="Arial"/>
          <w:bCs/>
          <w:szCs w:val="20"/>
        </w:rPr>
      </w:pPr>
      <w:r w:rsidRPr="00696E3A">
        <w:rPr>
          <w:b/>
          <w:bCs/>
        </w:rPr>
        <w:t>Default Approval Period:</w:t>
      </w:r>
      <w:r w:rsidR="00973BD6">
        <w:t xml:space="preserve"> </w:t>
      </w:r>
      <w:r w:rsidR="00821C32" w:rsidRPr="00821C32">
        <w:rPr>
          <w:rFonts w:cs="Arial"/>
          <w:bCs/>
          <w:szCs w:val="20"/>
        </w:rPr>
        <w:t>3 months</w:t>
      </w:r>
    </w:p>
    <w:p w14:paraId="5D43D3D3" w14:textId="4F4FFE24" w:rsidR="00343D6B" w:rsidRPr="00C02553" w:rsidRDefault="00343D6B" w:rsidP="00696E3A"/>
    <w:p w14:paraId="6649BF8C" w14:textId="77777777" w:rsidR="00343D6B" w:rsidRPr="002C2C41" w:rsidRDefault="00343D6B" w:rsidP="00343D6B">
      <w:pPr>
        <w:rPr>
          <w:rFonts w:cs="Arial"/>
          <w:szCs w:val="20"/>
        </w:rPr>
      </w:pPr>
    </w:p>
    <w:bookmarkEnd w:id="2"/>
    <w:p w14:paraId="6413C0CF" w14:textId="530C1EC9" w:rsidR="00AE77DB" w:rsidRPr="00C02553" w:rsidRDefault="00AE77DB" w:rsidP="00343D6B">
      <w:pPr>
        <w:pStyle w:val="Heading1"/>
        <w:rPr>
          <w:lang w:val="en-US"/>
        </w:rPr>
      </w:pPr>
      <w:r w:rsidRPr="00C02553">
        <w:rPr>
          <w:lang w:val="en-US"/>
        </w:rPr>
        <w:t>References</w:t>
      </w:r>
    </w:p>
    <w:p w14:paraId="4AF9D91A" w14:textId="1BCA8DA9" w:rsidR="000F1DAC" w:rsidRPr="000F1DAC" w:rsidRDefault="000F1DAC" w:rsidP="000F1DAC">
      <w:pPr>
        <w:numPr>
          <w:ilvl w:val="0"/>
          <w:numId w:val="19"/>
        </w:numPr>
        <w:tabs>
          <w:tab w:val="center" w:pos="4320"/>
          <w:tab w:val="right" w:pos="8640"/>
        </w:tabs>
        <w:rPr>
          <w:rFonts w:cs="Arial"/>
          <w:szCs w:val="20"/>
          <w:shd w:val="clear" w:color="auto" w:fill="FFFFFF"/>
        </w:rPr>
      </w:pPr>
      <w:r w:rsidRPr="000F1DAC">
        <w:rPr>
          <w:rFonts w:cs="Arial"/>
          <w:szCs w:val="20"/>
          <w:shd w:val="clear" w:color="auto" w:fill="FFFFFF"/>
        </w:rPr>
        <w:t xml:space="preserve">Reblozyl (luspatercept-aamt) [package insert]. Summit, NJ: Celgene Corporation; </w:t>
      </w:r>
      <w:r w:rsidR="00B3628B">
        <w:rPr>
          <w:rFonts w:cs="Arial"/>
          <w:szCs w:val="20"/>
          <w:shd w:val="clear" w:color="auto" w:fill="FFFFFF"/>
        </w:rPr>
        <w:t>February</w:t>
      </w:r>
      <w:r w:rsidRPr="000F1DAC">
        <w:rPr>
          <w:rFonts w:cs="Arial"/>
          <w:szCs w:val="20"/>
          <w:shd w:val="clear" w:color="auto" w:fill="FFFFFF"/>
        </w:rPr>
        <w:t xml:space="preserve"> 202</w:t>
      </w:r>
      <w:r w:rsidR="00B3628B">
        <w:rPr>
          <w:rFonts w:cs="Arial"/>
          <w:szCs w:val="20"/>
          <w:shd w:val="clear" w:color="auto" w:fill="FFFFFF"/>
        </w:rPr>
        <w:t>6</w:t>
      </w:r>
      <w:r w:rsidRPr="000F1DAC">
        <w:rPr>
          <w:rFonts w:cs="Arial"/>
          <w:szCs w:val="20"/>
          <w:shd w:val="clear" w:color="auto" w:fill="FFFFFF"/>
        </w:rPr>
        <w:t>.</w:t>
      </w:r>
    </w:p>
    <w:p w14:paraId="6E0AA30B" w14:textId="77777777" w:rsidR="000F1DAC" w:rsidRPr="000F1DAC" w:rsidRDefault="000F1DAC" w:rsidP="000F1DAC">
      <w:pPr>
        <w:numPr>
          <w:ilvl w:val="0"/>
          <w:numId w:val="19"/>
        </w:numPr>
        <w:rPr>
          <w:rFonts w:cs="Arial"/>
          <w:szCs w:val="20"/>
        </w:rPr>
      </w:pPr>
      <w:r w:rsidRPr="000F1DAC">
        <w:rPr>
          <w:rFonts w:cs="Arial"/>
          <w:szCs w:val="20"/>
        </w:rPr>
        <w:t>Rytelo (imetelstat) [package insert]. Foster City, CA: Geron Corporation; June 2024.</w:t>
      </w:r>
    </w:p>
    <w:p w14:paraId="291DCCB7" w14:textId="77777777" w:rsidR="000F1DAC" w:rsidRPr="000F1DAC" w:rsidRDefault="000F1DAC" w:rsidP="000F1DAC">
      <w:pPr>
        <w:numPr>
          <w:ilvl w:val="0"/>
          <w:numId w:val="19"/>
        </w:numPr>
        <w:rPr>
          <w:rFonts w:cs="Arial"/>
          <w:szCs w:val="20"/>
        </w:rPr>
      </w:pPr>
      <w:r w:rsidRPr="000F1DAC">
        <w:rPr>
          <w:rFonts w:cs="Arial"/>
          <w:szCs w:val="20"/>
          <w:shd w:val="clear" w:color="auto" w:fill="FFFFFF"/>
        </w:rPr>
        <w:t>IPD Analytics. New Drug Review: Reblozyl (luspatercept-aamt).  November 2020.</w:t>
      </w:r>
    </w:p>
    <w:p w14:paraId="77435BB9" w14:textId="77777777" w:rsidR="000F1DAC" w:rsidRPr="000F1DAC" w:rsidRDefault="000F1DAC" w:rsidP="000F1DAC">
      <w:pPr>
        <w:numPr>
          <w:ilvl w:val="0"/>
          <w:numId w:val="19"/>
        </w:numPr>
        <w:rPr>
          <w:rFonts w:cs="Arial"/>
          <w:szCs w:val="20"/>
        </w:rPr>
      </w:pPr>
      <w:r w:rsidRPr="000F1DAC">
        <w:rPr>
          <w:rFonts w:cs="Arial"/>
          <w:szCs w:val="20"/>
          <w:shd w:val="clear" w:color="auto" w:fill="FFFFFF"/>
        </w:rPr>
        <w:t>IPD Analytics. New Drug Review: Rytelo (imetelstat). July 2024.</w:t>
      </w:r>
    </w:p>
    <w:p w14:paraId="6E22C0D7" w14:textId="77777777" w:rsidR="000F1DAC" w:rsidRPr="000F1DAC" w:rsidRDefault="000F1DAC" w:rsidP="000F1DAC">
      <w:pPr>
        <w:numPr>
          <w:ilvl w:val="0"/>
          <w:numId w:val="19"/>
        </w:numPr>
        <w:tabs>
          <w:tab w:val="center" w:pos="4320"/>
          <w:tab w:val="right" w:pos="8640"/>
        </w:tabs>
        <w:rPr>
          <w:rFonts w:cs="Arial"/>
          <w:szCs w:val="20"/>
        </w:rPr>
      </w:pPr>
      <w:r w:rsidRPr="000F1DAC">
        <w:rPr>
          <w:rFonts w:cs="Arial"/>
          <w:szCs w:val="20"/>
        </w:rPr>
        <w:t>Orazi, A., Germing, U. The myelodysplastic/myeloproliferative neoplasms: myeloproliferative diseases with dysplastic features. Leukemia 22, 1308–1319 (2008). https://doi.org/10.1038/leu.2008.119</w:t>
      </w:r>
    </w:p>
    <w:p w14:paraId="464CE307" w14:textId="43F42593" w:rsidR="000F1DAC" w:rsidRPr="000F1DAC" w:rsidRDefault="000F1DAC" w:rsidP="000F1DAC">
      <w:pPr>
        <w:numPr>
          <w:ilvl w:val="0"/>
          <w:numId w:val="19"/>
        </w:numPr>
        <w:tabs>
          <w:tab w:val="center" w:pos="4320"/>
          <w:tab w:val="right" w:pos="8640"/>
        </w:tabs>
        <w:rPr>
          <w:rFonts w:cs="Arial"/>
          <w:szCs w:val="20"/>
        </w:rPr>
      </w:pPr>
      <w:r w:rsidRPr="000F1DAC">
        <w:rPr>
          <w:rFonts w:cs="Arial"/>
          <w:szCs w:val="20"/>
        </w:rPr>
        <w:t>The Aplastic Anemia &amp; MDS (AAMDS) International Foundation.  MDS - Myelodysplastic Syndromes.  https://www.aamds.org/diseases/mds.  Accessed June 3, 202</w:t>
      </w:r>
      <w:r w:rsidR="0008300D">
        <w:rPr>
          <w:rFonts w:cs="Arial"/>
          <w:szCs w:val="20"/>
        </w:rPr>
        <w:t>6</w:t>
      </w:r>
      <w:r w:rsidRPr="000F1DAC">
        <w:rPr>
          <w:rFonts w:cs="Arial"/>
          <w:szCs w:val="20"/>
        </w:rPr>
        <w:t>.</w:t>
      </w:r>
    </w:p>
    <w:p w14:paraId="0EAE652E" w14:textId="3FA81E6D" w:rsidR="000F1DAC" w:rsidRPr="000F1DAC" w:rsidRDefault="000F1DAC" w:rsidP="000F1DAC">
      <w:pPr>
        <w:numPr>
          <w:ilvl w:val="0"/>
          <w:numId w:val="19"/>
        </w:numPr>
        <w:tabs>
          <w:tab w:val="center" w:pos="4320"/>
          <w:tab w:val="right" w:pos="8640"/>
        </w:tabs>
        <w:rPr>
          <w:rFonts w:cs="Arial"/>
          <w:szCs w:val="20"/>
        </w:rPr>
      </w:pPr>
      <w:r w:rsidRPr="000F1DAC">
        <w:rPr>
          <w:rFonts w:cs="Arial"/>
          <w:szCs w:val="20"/>
        </w:rPr>
        <w:t>National Organization of Rare Disorders.  Myelodysplastic Syndromes.  https://rarediseases.org/rare-diseases/myelodysplastic-syndromes/.  Accessed May 28, 202</w:t>
      </w:r>
      <w:r w:rsidR="0008300D">
        <w:rPr>
          <w:rFonts w:cs="Arial"/>
          <w:szCs w:val="20"/>
        </w:rPr>
        <w:t>6</w:t>
      </w:r>
      <w:r w:rsidRPr="000F1DAC">
        <w:rPr>
          <w:rFonts w:cs="Arial"/>
          <w:szCs w:val="20"/>
        </w:rPr>
        <w:t>.</w:t>
      </w:r>
    </w:p>
    <w:p w14:paraId="536C3CD3" w14:textId="473ADB45" w:rsidR="000F1DAC" w:rsidRPr="000F1DAC" w:rsidRDefault="000F1DAC" w:rsidP="000F1DAC">
      <w:pPr>
        <w:numPr>
          <w:ilvl w:val="0"/>
          <w:numId w:val="19"/>
        </w:numPr>
        <w:contextualSpacing/>
        <w:rPr>
          <w:rFonts w:cs="Arial"/>
          <w:szCs w:val="20"/>
        </w:rPr>
      </w:pPr>
      <w:r w:rsidRPr="000F1DAC">
        <w:rPr>
          <w:rFonts w:cs="Arial"/>
          <w:szCs w:val="20"/>
        </w:rPr>
        <w:t xml:space="preserve">National Comprehensive Cancer Network (NCCN). NCCN Clinical Practice Guidelines in Oncology (NCCN Guidelines). Myelodysplastic Syndromes. Version 2.2025. Updated January 17, 2025. </w:t>
      </w:r>
      <w:proofErr w:type="gramStart"/>
      <w:r w:rsidRPr="000F1DAC">
        <w:rPr>
          <w:rFonts w:cs="Arial"/>
          <w:szCs w:val="20"/>
        </w:rPr>
        <w:t>Accessed May</w:t>
      </w:r>
      <w:proofErr w:type="gramEnd"/>
      <w:r w:rsidRPr="000F1DAC">
        <w:rPr>
          <w:rFonts w:cs="Arial"/>
          <w:szCs w:val="20"/>
        </w:rPr>
        <w:t xml:space="preserve"> 29, 202</w:t>
      </w:r>
      <w:r w:rsidR="00C47BCC">
        <w:rPr>
          <w:rFonts w:cs="Arial"/>
          <w:szCs w:val="20"/>
        </w:rPr>
        <w:t>6</w:t>
      </w:r>
      <w:r w:rsidRPr="000F1DAC">
        <w:rPr>
          <w:rFonts w:cs="Arial"/>
          <w:szCs w:val="20"/>
        </w:rPr>
        <w:t>.</w:t>
      </w:r>
    </w:p>
    <w:p w14:paraId="3FA1E7DB" w14:textId="11321FC7" w:rsidR="00777CA4" w:rsidRDefault="00777CA4" w:rsidP="000F1DAC">
      <w:pPr>
        <w:pStyle w:val="ListParagraph"/>
        <w:numPr>
          <w:ilvl w:val="0"/>
          <w:numId w:val="0"/>
        </w:numPr>
        <w:ind w:left="360"/>
      </w:pP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C7D75" w14:textId="77777777" w:rsidR="00CD7156" w:rsidRPr="00C02553" w:rsidRDefault="00CD7156" w:rsidP="00AE77DB">
      <w:r w:rsidRPr="00C02553">
        <w:separator/>
      </w:r>
    </w:p>
  </w:endnote>
  <w:endnote w:type="continuationSeparator" w:id="0">
    <w:p w14:paraId="3748F485" w14:textId="77777777" w:rsidR="00CD7156" w:rsidRPr="00C02553" w:rsidRDefault="00CD7156" w:rsidP="00AE77DB">
      <w:r w:rsidRPr="00C02553">
        <w:continuationSeparator/>
      </w:r>
    </w:p>
  </w:endnote>
  <w:endnote w:type="continuationNotice" w:id="1">
    <w:p w14:paraId="24C66451" w14:textId="77777777" w:rsidR="00CD7156" w:rsidRPr="00C02553" w:rsidRDefault="00CD71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33BE4" w14:textId="77777777" w:rsidR="00CD7156" w:rsidRPr="00C02553" w:rsidRDefault="00CD7156" w:rsidP="00AE77DB">
      <w:r w:rsidRPr="00C02553">
        <w:separator/>
      </w:r>
    </w:p>
  </w:footnote>
  <w:footnote w:type="continuationSeparator" w:id="0">
    <w:p w14:paraId="017F3CEF" w14:textId="77777777" w:rsidR="00CD7156" w:rsidRPr="00C02553" w:rsidRDefault="00CD7156" w:rsidP="00AE77DB">
      <w:r w:rsidRPr="00C02553">
        <w:continuationSeparator/>
      </w:r>
    </w:p>
  </w:footnote>
  <w:footnote w:type="continuationNotice" w:id="1">
    <w:p w14:paraId="11F50F75" w14:textId="77777777" w:rsidR="00CD7156" w:rsidRPr="00C02553" w:rsidRDefault="00CD71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0D1F90">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0D1F90">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0D1F90">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C03385"/>
    <w:multiLevelType w:val="hybridMultilevel"/>
    <w:tmpl w:val="4290F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AB37B0"/>
    <w:multiLevelType w:val="hybridMultilevel"/>
    <w:tmpl w:val="727EE5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DF46620"/>
    <w:multiLevelType w:val="hybridMultilevel"/>
    <w:tmpl w:val="5066C3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730C11FE">
      <w:start w:val="1"/>
      <w:numFmt w:val="bullet"/>
      <w:lvlText w:val=""/>
      <w:lvlJc w:val="left"/>
      <w:pPr>
        <w:ind w:left="1080" w:hanging="360"/>
      </w:pPr>
      <w:rPr>
        <w:rFonts w:ascii="Wingdings" w:hAnsi="Wingdings" w:hint="default"/>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4064CF6"/>
    <w:multiLevelType w:val="hybridMultilevel"/>
    <w:tmpl w:val="CED692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8"/>
  </w:num>
  <w:num w:numId="3" w16cid:durableId="1729067566">
    <w:abstractNumId w:val="4"/>
  </w:num>
  <w:num w:numId="4" w16cid:durableId="320159068">
    <w:abstractNumId w:val="9"/>
  </w:num>
  <w:num w:numId="5" w16cid:durableId="1769498754">
    <w:abstractNumId w:val="3"/>
  </w:num>
  <w:num w:numId="6" w16cid:durableId="1094596320">
    <w:abstractNumId w:val="14"/>
  </w:num>
  <w:num w:numId="7" w16cid:durableId="2110008555">
    <w:abstractNumId w:val="2"/>
  </w:num>
  <w:num w:numId="8" w16cid:durableId="489712751">
    <w:abstractNumId w:val="7"/>
  </w:num>
  <w:num w:numId="9" w16cid:durableId="1085147965">
    <w:abstractNumId w:val="11"/>
  </w:num>
  <w:num w:numId="10" w16cid:durableId="917518096">
    <w:abstractNumId w:val="10"/>
  </w:num>
  <w:num w:numId="11" w16cid:durableId="1894998475">
    <w:abstractNumId w:val="1"/>
  </w:num>
  <w:num w:numId="12" w16cid:durableId="1418215296">
    <w:abstractNumId w:val="15"/>
  </w:num>
  <w:num w:numId="13" w16cid:durableId="604729665">
    <w:abstractNumId w:val="5"/>
  </w:num>
  <w:num w:numId="14" w16cid:durableId="1805081292">
    <w:abstractNumId w:val="12"/>
  </w:num>
  <w:num w:numId="15" w16cid:durableId="1911186802">
    <w:abstractNumId w:val="6"/>
  </w:num>
  <w:num w:numId="16" w16cid:durableId="1159031346">
    <w:abstractNumId w:val="13"/>
  </w:num>
  <w:num w:numId="17" w16cid:durableId="157695085">
    <w:abstractNumId w:val="16"/>
  </w:num>
  <w:num w:numId="18" w16cid:durableId="169489446">
    <w:abstractNumId w:val="17"/>
  </w:num>
  <w:num w:numId="19" w16cid:durableId="128773463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NooH2zgVNU1N0zv1dzML7Dy6ZTtt48t1lubyQdvLr3b+M23c+QVc7MSPHkAmQh09EWcksoz721hur9f2BXS0bg==" w:salt="dNrtpDhARzObUMrkDKqu6Q=="/>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6B98"/>
    <w:rsid w:val="00017CBA"/>
    <w:rsid w:val="000276D9"/>
    <w:rsid w:val="000344C5"/>
    <w:rsid w:val="00040AD3"/>
    <w:rsid w:val="00053807"/>
    <w:rsid w:val="000572E5"/>
    <w:rsid w:val="00061541"/>
    <w:rsid w:val="00064162"/>
    <w:rsid w:val="00065C22"/>
    <w:rsid w:val="00074464"/>
    <w:rsid w:val="00076030"/>
    <w:rsid w:val="00082590"/>
    <w:rsid w:val="0008300D"/>
    <w:rsid w:val="000913C3"/>
    <w:rsid w:val="000953B9"/>
    <w:rsid w:val="000A2D17"/>
    <w:rsid w:val="000A413B"/>
    <w:rsid w:val="000A6279"/>
    <w:rsid w:val="000B496B"/>
    <w:rsid w:val="000C3940"/>
    <w:rsid w:val="000C5992"/>
    <w:rsid w:val="000D1F90"/>
    <w:rsid w:val="000E1479"/>
    <w:rsid w:val="000E231E"/>
    <w:rsid w:val="000E247D"/>
    <w:rsid w:val="000E6B14"/>
    <w:rsid w:val="000E70D8"/>
    <w:rsid w:val="000F1DAC"/>
    <w:rsid w:val="001062F6"/>
    <w:rsid w:val="00112FC7"/>
    <w:rsid w:val="00125F5F"/>
    <w:rsid w:val="00126951"/>
    <w:rsid w:val="00126B60"/>
    <w:rsid w:val="00127EF6"/>
    <w:rsid w:val="001310AD"/>
    <w:rsid w:val="001314A5"/>
    <w:rsid w:val="00132C7F"/>
    <w:rsid w:val="00136626"/>
    <w:rsid w:val="00143A11"/>
    <w:rsid w:val="00144DBE"/>
    <w:rsid w:val="00152C8B"/>
    <w:rsid w:val="0015636A"/>
    <w:rsid w:val="00172053"/>
    <w:rsid w:val="00177A80"/>
    <w:rsid w:val="001808B8"/>
    <w:rsid w:val="00193938"/>
    <w:rsid w:val="001A50CB"/>
    <w:rsid w:val="001A74B7"/>
    <w:rsid w:val="001B2D47"/>
    <w:rsid w:val="001B5F66"/>
    <w:rsid w:val="001C0250"/>
    <w:rsid w:val="001C6DA4"/>
    <w:rsid w:val="001C73B1"/>
    <w:rsid w:val="001D1E7D"/>
    <w:rsid w:val="001D6567"/>
    <w:rsid w:val="001E2CCB"/>
    <w:rsid w:val="001E4CBA"/>
    <w:rsid w:val="001E523C"/>
    <w:rsid w:val="001E61DF"/>
    <w:rsid w:val="001F2B9F"/>
    <w:rsid w:val="001F3423"/>
    <w:rsid w:val="001F3A35"/>
    <w:rsid w:val="001F5954"/>
    <w:rsid w:val="00202DD3"/>
    <w:rsid w:val="00206E7D"/>
    <w:rsid w:val="00213545"/>
    <w:rsid w:val="00216107"/>
    <w:rsid w:val="00217E14"/>
    <w:rsid w:val="00217EFD"/>
    <w:rsid w:val="00222134"/>
    <w:rsid w:val="0022233F"/>
    <w:rsid w:val="00226275"/>
    <w:rsid w:val="00246564"/>
    <w:rsid w:val="00246A3B"/>
    <w:rsid w:val="00250FBF"/>
    <w:rsid w:val="00255404"/>
    <w:rsid w:val="0025594F"/>
    <w:rsid w:val="00270C5E"/>
    <w:rsid w:val="00290A03"/>
    <w:rsid w:val="0029159A"/>
    <w:rsid w:val="00291600"/>
    <w:rsid w:val="002A02F4"/>
    <w:rsid w:val="002A1CD2"/>
    <w:rsid w:val="002C2C41"/>
    <w:rsid w:val="002C62E7"/>
    <w:rsid w:val="002D178C"/>
    <w:rsid w:val="002E05E2"/>
    <w:rsid w:val="002E2DD6"/>
    <w:rsid w:val="002E3F28"/>
    <w:rsid w:val="002F0E52"/>
    <w:rsid w:val="002F2274"/>
    <w:rsid w:val="002F2405"/>
    <w:rsid w:val="002F26B7"/>
    <w:rsid w:val="002F690F"/>
    <w:rsid w:val="0030301F"/>
    <w:rsid w:val="00303B21"/>
    <w:rsid w:val="003105A5"/>
    <w:rsid w:val="00313701"/>
    <w:rsid w:val="00314430"/>
    <w:rsid w:val="00316188"/>
    <w:rsid w:val="003171AF"/>
    <w:rsid w:val="00317469"/>
    <w:rsid w:val="0032215C"/>
    <w:rsid w:val="0032616B"/>
    <w:rsid w:val="00326687"/>
    <w:rsid w:val="003275F9"/>
    <w:rsid w:val="00330DD4"/>
    <w:rsid w:val="003345D2"/>
    <w:rsid w:val="003355AC"/>
    <w:rsid w:val="00343D6B"/>
    <w:rsid w:val="00346090"/>
    <w:rsid w:val="00347FB5"/>
    <w:rsid w:val="00355515"/>
    <w:rsid w:val="003608B5"/>
    <w:rsid w:val="003613AF"/>
    <w:rsid w:val="003878C1"/>
    <w:rsid w:val="003928C6"/>
    <w:rsid w:val="00396C0B"/>
    <w:rsid w:val="003A630F"/>
    <w:rsid w:val="003B3958"/>
    <w:rsid w:val="003B4820"/>
    <w:rsid w:val="003B5F4B"/>
    <w:rsid w:val="003B682F"/>
    <w:rsid w:val="003C53FC"/>
    <w:rsid w:val="003C7013"/>
    <w:rsid w:val="003C798B"/>
    <w:rsid w:val="003D4704"/>
    <w:rsid w:val="003D641B"/>
    <w:rsid w:val="003F227C"/>
    <w:rsid w:val="004023CC"/>
    <w:rsid w:val="00407564"/>
    <w:rsid w:val="00411152"/>
    <w:rsid w:val="004156AA"/>
    <w:rsid w:val="004253A1"/>
    <w:rsid w:val="004313B6"/>
    <w:rsid w:val="00433339"/>
    <w:rsid w:val="00446BBC"/>
    <w:rsid w:val="004471BA"/>
    <w:rsid w:val="004472C0"/>
    <w:rsid w:val="00450705"/>
    <w:rsid w:val="00451928"/>
    <w:rsid w:val="00460B5D"/>
    <w:rsid w:val="00464BB4"/>
    <w:rsid w:val="0046618B"/>
    <w:rsid w:val="00475AC7"/>
    <w:rsid w:val="0048608C"/>
    <w:rsid w:val="00496E57"/>
    <w:rsid w:val="004B3E10"/>
    <w:rsid w:val="004C0F5D"/>
    <w:rsid w:val="004C375A"/>
    <w:rsid w:val="004C4954"/>
    <w:rsid w:val="004C5767"/>
    <w:rsid w:val="004D0080"/>
    <w:rsid w:val="004D5322"/>
    <w:rsid w:val="004D78B0"/>
    <w:rsid w:val="004E611F"/>
    <w:rsid w:val="004F2A79"/>
    <w:rsid w:val="004F4D37"/>
    <w:rsid w:val="00501A14"/>
    <w:rsid w:val="00501DE3"/>
    <w:rsid w:val="005058CB"/>
    <w:rsid w:val="0051044D"/>
    <w:rsid w:val="005139E4"/>
    <w:rsid w:val="00515075"/>
    <w:rsid w:val="00516D12"/>
    <w:rsid w:val="00520FE9"/>
    <w:rsid w:val="005233E7"/>
    <w:rsid w:val="00526C8D"/>
    <w:rsid w:val="00531A03"/>
    <w:rsid w:val="005328B2"/>
    <w:rsid w:val="00535BD5"/>
    <w:rsid w:val="00540977"/>
    <w:rsid w:val="0054117B"/>
    <w:rsid w:val="00551668"/>
    <w:rsid w:val="0055358F"/>
    <w:rsid w:val="005572D5"/>
    <w:rsid w:val="00566BE4"/>
    <w:rsid w:val="00570D21"/>
    <w:rsid w:val="00576113"/>
    <w:rsid w:val="00590652"/>
    <w:rsid w:val="005916DF"/>
    <w:rsid w:val="0059235F"/>
    <w:rsid w:val="00596936"/>
    <w:rsid w:val="005A2F1E"/>
    <w:rsid w:val="005A4232"/>
    <w:rsid w:val="005C3616"/>
    <w:rsid w:val="005D36B2"/>
    <w:rsid w:val="005D52E7"/>
    <w:rsid w:val="005D78B5"/>
    <w:rsid w:val="005E3572"/>
    <w:rsid w:val="005E45E4"/>
    <w:rsid w:val="005F0A81"/>
    <w:rsid w:val="005F0FCF"/>
    <w:rsid w:val="005F6104"/>
    <w:rsid w:val="0060042F"/>
    <w:rsid w:val="006008BC"/>
    <w:rsid w:val="00602CFD"/>
    <w:rsid w:val="00605A12"/>
    <w:rsid w:val="00606B55"/>
    <w:rsid w:val="00612A7B"/>
    <w:rsid w:val="006148AD"/>
    <w:rsid w:val="00616E5E"/>
    <w:rsid w:val="006173A4"/>
    <w:rsid w:val="006205AD"/>
    <w:rsid w:val="00625C3A"/>
    <w:rsid w:val="00635DDB"/>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B561D"/>
    <w:rsid w:val="006B6D5D"/>
    <w:rsid w:val="006C17B6"/>
    <w:rsid w:val="006C398D"/>
    <w:rsid w:val="006D1693"/>
    <w:rsid w:val="006D2330"/>
    <w:rsid w:val="006E0F8B"/>
    <w:rsid w:val="006E12F7"/>
    <w:rsid w:val="006E29D7"/>
    <w:rsid w:val="007068A4"/>
    <w:rsid w:val="00706D67"/>
    <w:rsid w:val="00713052"/>
    <w:rsid w:val="00721367"/>
    <w:rsid w:val="007231FA"/>
    <w:rsid w:val="00732C67"/>
    <w:rsid w:val="00734418"/>
    <w:rsid w:val="00757826"/>
    <w:rsid w:val="00762B13"/>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41A4"/>
    <w:rsid w:val="007D42DD"/>
    <w:rsid w:val="007E23CE"/>
    <w:rsid w:val="007E6A37"/>
    <w:rsid w:val="007E72F9"/>
    <w:rsid w:val="007F0790"/>
    <w:rsid w:val="007F1774"/>
    <w:rsid w:val="007F593C"/>
    <w:rsid w:val="00811A70"/>
    <w:rsid w:val="0081406E"/>
    <w:rsid w:val="00821C32"/>
    <w:rsid w:val="00832211"/>
    <w:rsid w:val="008325F4"/>
    <w:rsid w:val="00832AC8"/>
    <w:rsid w:val="00843F06"/>
    <w:rsid w:val="00846FA4"/>
    <w:rsid w:val="008524BA"/>
    <w:rsid w:val="00852B74"/>
    <w:rsid w:val="00856928"/>
    <w:rsid w:val="00865538"/>
    <w:rsid w:val="00870875"/>
    <w:rsid w:val="0088225C"/>
    <w:rsid w:val="00884026"/>
    <w:rsid w:val="00884C78"/>
    <w:rsid w:val="008859E1"/>
    <w:rsid w:val="00896264"/>
    <w:rsid w:val="008A2549"/>
    <w:rsid w:val="008A5D88"/>
    <w:rsid w:val="008B2851"/>
    <w:rsid w:val="008C000E"/>
    <w:rsid w:val="008D0F2F"/>
    <w:rsid w:val="008D237F"/>
    <w:rsid w:val="008D2A85"/>
    <w:rsid w:val="008D3FD8"/>
    <w:rsid w:val="008D6B05"/>
    <w:rsid w:val="008E7D2D"/>
    <w:rsid w:val="008F2CC9"/>
    <w:rsid w:val="008F44C0"/>
    <w:rsid w:val="008F5999"/>
    <w:rsid w:val="00903AD6"/>
    <w:rsid w:val="00904D7A"/>
    <w:rsid w:val="00915332"/>
    <w:rsid w:val="009204BB"/>
    <w:rsid w:val="00933D41"/>
    <w:rsid w:val="00935918"/>
    <w:rsid w:val="00935EC3"/>
    <w:rsid w:val="00951097"/>
    <w:rsid w:val="00953C1E"/>
    <w:rsid w:val="0096210F"/>
    <w:rsid w:val="00962633"/>
    <w:rsid w:val="00963187"/>
    <w:rsid w:val="00963ACF"/>
    <w:rsid w:val="00963D1C"/>
    <w:rsid w:val="00964284"/>
    <w:rsid w:val="0097028A"/>
    <w:rsid w:val="00973BD6"/>
    <w:rsid w:val="00984549"/>
    <w:rsid w:val="00985D28"/>
    <w:rsid w:val="00990814"/>
    <w:rsid w:val="00991BF0"/>
    <w:rsid w:val="00992EA3"/>
    <w:rsid w:val="009A0FB1"/>
    <w:rsid w:val="009A1FAC"/>
    <w:rsid w:val="009B001A"/>
    <w:rsid w:val="009B1A62"/>
    <w:rsid w:val="009C3CC7"/>
    <w:rsid w:val="009C73BE"/>
    <w:rsid w:val="009D2057"/>
    <w:rsid w:val="009D3D6C"/>
    <w:rsid w:val="009D5551"/>
    <w:rsid w:val="009D62DB"/>
    <w:rsid w:val="009E3B42"/>
    <w:rsid w:val="009F518A"/>
    <w:rsid w:val="00A02AF6"/>
    <w:rsid w:val="00A05B60"/>
    <w:rsid w:val="00A13266"/>
    <w:rsid w:val="00A14FA6"/>
    <w:rsid w:val="00A15D64"/>
    <w:rsid w:val="00A20575"/>
    <w:rsid w:val="00A32452"/>
    <w:rsid w:val="00A325CC"/>
    <w:rsid w:val="00A32BBF"/>
    <w:rsid w:val="00A37444"/>
    <w:rsid w:val="00A4281A"/>
    <w:rsid w:val="00A459CF"/>
    <w:rsid w:val="00A5014D"/>
    <w:rsid w:val="00A53E96"/>
    <w:rsid w:val="00A56F18"/>
    <w:rsid w:val="00A628F8"/>
    <w:rsid w:val="00A62BAA"/>
    <w:rsid w:val="00A66172"/>
    <w:rsid w:val="00A744C3"/>
    <w:rsid w:val="00A80896"/>
    <w:rsid w:val="00A82EE4"/>
    <w:rsid w:val="00AA70AB"/>
    <w:rsid w:val="00AB0B9F"/>
    <w:rsid w:val="00AB1713"/>
    <w:rsid w:val="00AB63BE"/>
    <w:rsid w:val="00AB73D6"/>
    <w:rsid w:val="00AC1EBC"/>
    <w:rsid w:val="00AC2599"/>
    <w:rsid w:val="00AC2DE9"/>
    <w:rsid w:val="00AC3CD9"/>
    <w:rsid w:val="00AD2C5F"/>
    <w:rsid w:val="00AE1481"/>
    <w:rsid w:val="00AE27F9"/>
    <w:rsid w:val="00AE54CE"/>
    <w:rsid w:val="00AE77DB"/>
    <w:rsid w:val="00AF7453"/>
    <w:rsid w:val="00B00FFF"/>
    <w:rsid w:val="00B06084"/>
    <w:rsid w:val="00B11B30"/>
    <w:rsid w:val="00B16735"/>
    <w:rsid w:val="00B17EDE"/>
    <w:rsid w:val="00B22585"/>
    <w:rsid w:val="00B33693"/>
    <w:rsid w:val="00B34C53"/>
    <w:rsid w:val="00B3628B"/>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62C7"/>
    <w:rsid w:val="00BE020D"/>
    <w:rsid w:val="00BE354A"/>
    <w:rsid w:val="00BF5EEF"/>
    <w:rsid w:val="00C02553"/>
    <w:rsid w:val="00C04EB6"/>
    <w:rsid w:val="00C056F9"/>
    <w:rsid w:val="00C07A7B"/>
    <w:rsid w:val="00C1018C"/>
    <w:rsid w:val="00C1150E"/>
    <w:rsid w:val="00C12AC6"/>
    <w:rsid w:val="00C14D52"/>
    <w:rsid w:val="00C2586C"/>
    <w:rsid w:val="00C26001"/>
    <w:rsid w:val="00C34E72"/>
    <w:rsid w:val="00C47BCC"/>
    <w:rsid w:val="00C56B1F"/>
    <w:rsid w:val="00C60968"/>
    <w:rsid w:val="00C61B52"/>
    <w:rsid w:val="00C62745"/>
    <w:rsid w:val="00C654CA"/>
    <w:rsid w:val="00C763BD"/>
    <w:rsid w:val="00C779A8"/>
    <w:rsid w:val="00C82E19"/>
    <w:rsid w:val="00C96873"/>
    <w:rsid w:val="00CA1735"/>
    <w:rsid w:val="00CA207E"/>
    <w:rsid w:val="00CA3C4B"/>
    <w:rsid w:val="00CA7252"/>
    <w:rsid w:val="00CB2C5A"/>
    <w:rsid w:val="00CD7156"/>
    <w:rsid w:val="00CE0C1C"/>
    <w:rsid w:val="00CE34AF"/>
    <w:rsid w:val="00CE4A1B"/>
    <w:rsid w:val="00CF00A4"/>
    <w:rsid w:val="00CF25FB"/>
    <w:rsid w:val="00CF614C"/>
    <w:rsid w:val="00D02F34"/>
    <w:rsid w:val="00D13D87"/>
    <w:rsid w:val="00D16590"/>
    <w:rsid w:val="00D20720"/>
    <w:rsid w:val="00D232D9"/>
    <w:rsid w:val="00D250D9"/>
    <w:rsid w:val="00D27533"/>
    <w:rsid w:val="00D42DA3"/>
    <w:rsid w:val="00D4546D"/>
    <w:rsid w:val="00D47996"/>
    <w:rsid w:val="00D61118"/>
    <w:rsid w:val="00D614F1"/>
    <w:rsid w:val="00D64393"/>
    <w:rsid w:val="00D70D50"/>
    <w:rsid w:val="00D71917"/>
    <w:rsid w:val="00D95E68"/>
    <w:rsid w:val="00DA3A0F"/>
    <w:rsid w:val="00DA4E62"/>
    <w:rsid w:val="00DA6990"/>
    <w:rsid w:val="00DB27BA"/>
    <w:rsid w:val="00DB3009"/>
    <w:rsid w:val="00DB337A"/>
    <w:rsid w:val="00DC034A"/>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54AA"/>
    <w:rsid w:val="00E42A3F"/>
    <w:rsid w:val="00E43D54"/>
    <w:rsid w:val="00E442FB"/>
    <w:rsid w:val="00E529DB"/>
    <w:rsid w:val="00E53A5E"/>
    <w:rsid w:val="00E6466A"/>
    <w:rsid w:val="00E72221"/>
    <w:rsid w:val="00E81B96"/>
    <w:rsid w:val="00E831D3"/>
    <w:rsid w:val="00E83428"/>
    <w:rsid w:val="00E84C58"/>
    <w:rsid w:val="00E873A5"/>
    <w:rsid w:val="00E90D11"/>
    <w:rsid w:val="00E915E5"/>
    <w:rsid w:val="00EB0367"/>
    <w:rsid w:val="00EB4FB9"/>
    <w:rsid w:val="00EB5BC8"/>
    <w:rsid w:val="00EC2738"/>
    <w:rsid w:val="00ED760F"/>
    <w:rsid w:val="00ED7B42"/>
    <w:rsid w:val="00EE3EA5"/>
    <w:rsid w:val="00EE613F"/>
    <w:rsid w:val="00EE6BD1"/>
    <w:rsid w:val="00EF0262"/>
    <w:rsid w:val="00EF070C"/>
    <w:rsid w:val="00EF0828"/>
    <w:rsid w:val="00EF6F8B"/>
    <w:rsid w:val="00F03898"/>
    <w:rsid w:val="00F1527A"/>
    <w:rsid w:val="00F2696B"/>
    <w:rsid w:val="00F27821"/>
    <w:rsid w:val="00F319F4"/>
    <w:rsid w:val="00F4092A"/>
    <w:rsid w:val="00F41F69"/>
    <w:rsid w:val="00F43E41"/>
    <w:rsid w:val="00F4790C"/>
    <w:rsid w:val="00F50C4B"/>
    <w:rsid w:val="00F54C08"/>
    <w:rsid w:val="00F553A2"/>
    <w:rsid w:val="00F6068C"/>
    <w:rsid w:val="00F62F33"/>
    <w:rsid w:val="00F634C1"/>
    <w:rsid w:val="00F63A52"/>
    <w:rsid w:val="00F730BA"/>
    <w:rsid w:val="00F87CCE"/>
    <w:rsid w:val="00F903BE"/>
    <w:rsid w:val="00F95D04"/>
    <w:rsid w:val="00FA16EC"/>
    <w:rsid w:val="00FA2811"/>
    <w:rsid w:val="00FA4837"/>
    <w:rsid w:val="00FB1D33"/>
    <w:rsid w:val="00FB5E96"/>
    <w:rsid w:val="00FC05A0"/>
    <w:rsid w:val="00FC6758"/>
    <w:rsid w:val="00FD34EA"/>
    <w:rsid w:val="00FD4475"/>
    <w:rsid w:val="00FE3F3E"/>
    <w:rsid w:val="00FE4D52"/>
    <w:rsid w:val="00FE5AEE"/>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paragraph" w:styleId="Revision">
    <w:name w:val="Revision"/>
    <w:hidden/>
    <w:uiPriority w:val="99"/>
    <w:semiHidden/>
    <w:rsid w:val="009C73BE"/>
    <w:rPr>
      <w:rFonts w:ascii="Arial" w:hAnsi="Arial"/>
      <w:szCs w:val="24"/>
    </w:rPr>
  </w:style>
  <w:style w:type="character" w:styleId="CommentReference">
    <w:name w:val="annotation reference"/>
    <w:basedOn w:val="DefaultParagraphFont"/>
    <w:uiPriority w:val="99"/>
    <w:semiHidden/>
    <w:unhideWhenUsed/>
    <w:rsid w:val="00E42A3F"/>
    <w:rPr>
      <w:sz w:val="16"/>
      <w:szCs w:val="16"/>
    </w:rPr>
  </w:style>
  <w:style w:type="paragraph" w:styleId="CommentSubject">
    <w:name w:val="annotation subject"/>
    <w:basedOn w:val="CommentText"/>
    <w:next w:val="CommentText"/>
    <w:link w:val="CommentSubjectChar"/>
    <w:uiPriority w:val="99"/>
    <w:semiHidden/>
    <w:unhideWhenUsed/>
    <w:rsid w:val="00E42A3F"/>
    <w:rPr>
      <w:b/>
      <w:bCs/>
    </w:rPr>
  </w:style>
  <w:style w:type="character" w:customStyle="1" w:styleId="CommentTextChar">
    <w:name w:val="Comment Text Char"/>
    <w:basedOn w:val="DefaultParagraphFont"/>
    <w:link w:val="CommentText"/>
    <w:semiHidden/>
    <w:rsid w:val="00E42A3F"/>
    <w:rPr>
      <w:rFonts w:ascii="Arial" w:hAnsi="Arial"/>
    </w:rPr>
  </w:style>
  <w:style w:type="character" w:customStyle="1" w:styleId="CommentSubjectChar">
    <w:name w:val="Comment Subject Char"/>
    <w:basedOn w:val="CommentTextChar"/>
    <w:link w:val="CommentSubject"/>
    <w:uiPriority w:val="99"/>
    <w:semiHidden/>
    <w:rsid w:val="00E42A3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992BC-7C11-4A83-A97F-D2E41AE80BFC}">
  <ds:schemaRefs>
    <ds:schemaRef ds:uri="http://schemas.openxmlformats.org/package/2006/metadata/core-properties"/>
    <ds:schemaRef ds:uri="http://schemas.microsoft.com/office/2006/documentManagement/types"/>
    <ds:schemaRef ds:uri="http://purl.org/dc/dcmitype/"/>
    <ds:schemaRef ds:uri="f5eefb00-5952-4f7e-8cf8-96f81cfadd01"/>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aba01ddc-ae9a-4c9e-819c-7140b4239cde"/>
    <ds:schemaRef ds:uri="http://www.w3.org/XML/1998/namespace"/>
  </ds:schemaRefs>
</ds:datastoreItem>
</file>

<file path=customXml/itemProps2.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3.xml><?xml version="1.0" encoding="utf-8"?>
<ds:datastoreItem xmlns:ds="http://schemas.openxmlformats.org/officeDocument/2006/customXml" ds:itemID="{5EF7B5BD-6160-4E8C-A83B-22E50B8A9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268</TotalTime>
  <Pages>3</Pages>
  <Words>997</Words>
  <Characters>5740</Characters>
  <Application>Microsoft Office Word</Application>
  <DocSecurity>10</DocSecurity>
  <Lines>47</Lines>
  <Paragraphs>13</Paragraphs>
  <ScaleCrop>false</ScaleCrop>
  <HeadingPairs>
    <vt:vector size="2" baseType="variant">
      <vt:variant>
        <vt:lpstr>Title</vt:lpstr>
      </vt:variant>
      <vt:variant>
        <vt:i4>1</vt:i4>
      </vt:variant>
    </vt:vector>
  </HeadingPairs>
  <TitlesOfParts>
    <vt:vector size="1" baseType="lpstr">
      <vt:lpstr>Myelodysplastic_Syndromes_July_2026_Proposal</vt:lpstr>
    </vt:vector>
  </TitlesOfParts>
  <Company>DSS</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Myelodysplastic_Syndromes_July_2026_Proposal</dc:title>
  <dc:subject/>
  <dc:creator>DMS</dc:creator>
  <cp:keywords/>
  <cp:lastModifiedBy>Heriford, Katherine</cp:lastModifiedBy>
  <cp:revision>50</cp:revision>
  <cp:lastPrinted>2018-10-31T18:17:00Z</cp:lastPrinted>
  <dcterms:created xsi:type="dcterms:W3CDTF">2025-11-19T15:39:00Z</dcterms:created>
  <dcterms:modified xsi:type="dcterms:W3CDTF">2026-07-06T17:20:00Z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docLang">
    <vt:lpwstr>en</vt:lpwstr>
  </property>
</Properties>
</file>