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14297823" w:rsidR="004C5767" w:rsidRPr="008859E1" w:rsidRDefault="004C5767" w:rsidP="00D27533">
      <w:pPr>
        <w:pStyle w:val="tbody"/>
        <w:rPr>
          <w:b w:val="0"/>
          <w:bCs/>
        </w:rPr>
      </w:pPr>
      <w:r w:rsidRPr="00C02553">
        <w:t>Drug/Drug Class:</w:t>
      </w:r>
      <w:r w:rsidR="003B4820" w:rsidRPr="00573856">
        <w:rPr>
          <w:b w:val="0"/>
          <w:bCs/>
        </w:rPr>
        <w:t xml:space="preserve"> </w:t>
      </w:r>
      <w:r w:rsidR="005815CB" w:rsidRPr="005815CB">
        <w:rPr>
          <w:b w:val="0"/>
          <w:bCs/>
        </w:rPr>
        <w:t>Methotrexate Agents PDL Edit</w:t>
      </w:r>
    </w:p>
    <w:p w14:paraId="7AD7FFCE" w14:textId="7109D56E" w:rsidR="004C5767" w:rsidRPr="00C02553" w:rsidRDefault="004C5767" w:rsidP="00D27533">
      <w:pPr>
        <w:pStyle w:val="tbody"/>
      </w:pPr>
      <w:r w:rsidRPr="00C02553">
        <w:t>First Implementation Date:</w:t>
      </w:r>
      <w:r w:rsidRPr="00573856">
        <w:rPr>
          <w:b w:val="0"/>
          <w:bCs/>
        </w:rPr>
        <w:t xml:space="preserve"> </w:t>
      </w:r>
      <w:r w:rsidR="00A5302E" w:rsidRPr="00A5302E">
        <w:rPr>
          <w:b w:val="0"/>
          <w:bCs/>
        </w:rPr>
        <w:t>October 5, 2017</w:t>
      </w:r>
    </w:p>
    <w:p w14:paraId="4B7D760D" w14:textId="42DE2784" w:rsidR="004C5767" w:rsidRPr="00057F84" w:rsidRDefault="00F41F69" w:rsidP="70E341D6">
      <w:pPr>
        <w:pStyle w:val="tbody"/>
        <w:rPr>
          <w:b w:val="0"/>
        </w:rPr>
      </w:pPr>
      <w:r>
        <w:t>Pro</w:t>
      </w:r>
      <w:r w:rsidR="00FA2CFB">
        <w:t>posed</w:t>
      </w:r>
      <w:r w:rsidR="004C5767">
        <w:t xml:space="preserve"> Date:</w:t>
      </w:r>
      <w:r w:rsidR="00065C22">
        <w:t xml:space="preserve"> </w:t>
      </w:r>
      <w:r w:rsidR="00B04A72">
        <w:rPr>
          <w:b w:val="0"/>
          <w:bCs/>
        </w:rPr>
        <w:t>July</w:t>
      </w:r>
      <w:r w:rsidR="00BD4DC4" w:rsidRPr="00BD4DC4">
        <w:rPr>
          <w:b w:val="0"/>
          <w:bCs/>
        </w:rPr>
        <w:t xml:space="preserve">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40D08CA3" w:rsidR="004C5767" w:rsidRPr="00D27533" w:rsidRDefault="004C5767" w:rsidP="00D27533">
      <w:pPr>
        <w:pStyle w:val="tbody"/>
        <w:rPr>
          <w:b w:val="0"/>
          <w:bCs/>
          <w:spacing w:val="-3"/>
        </w:rPr>
      </w:pPr>
      <w:r w:rsidRPr="00C02553">
        <w:t xml:space="preserve">Criteria Status: </w:t>
      </w:r>
      <w:r w:rsidR="00566BE4" w:rsidRPr="00D275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77777777" w:rsidR="00B56DCC" w:rsidRDefault="00B56DCC" w:rsidP="00696E3A"/>
    <w:p w14:paraId="5CB9F10D" w14:textId="77777777" w:rsidR="00E71D12" w:rsidRDefault="00E71D12" w:rsidP="00E71D12">
      <w:r>
        <w:t xml:space="preserve">Methotrexate is one of the most effective and widely used agents for treating rheumatoid arthritis (RA) and other inflammatory types of arthritis. In participants with rheumatoid arthritis, effects of methotrexate on articular swelling and tenderness can be seen as early as 3 to 6 weeks. Although methotrexate clearly ameliorates symptoms of inflammation (pain, swelling, stiffness), there is no evidence that it induces RA </w:t>
      </w:r>
      <w:proofErr w:type="gramStart"/>
      <w:r>
        <w:t>remission</w:t>
      </w:r>
      <w:proofErr w:type="gramEnd"/>
      <w:r>
        <w:t xml:space="preserve"> nor has a beneficial effect been demonstrated on bone erosions and other radiologic changes which result in impaired joint use, functional disability, and deformity. Limited data from long-term studies indicate that an initial clinical improvement is maintained for at least two years with continued therapy. Studies comparing oral vs subcutaneous administration of methotrexate have found a greater achievement of American College of Rheumatology response criteria in participants treated with subcutaneous methotrexate, although oral is typically preferred due to its ease of use and low cost. In all participants receiving chronic methotrexate, it is recommended to take concomitantly with folic acid to reduce the risk of folate depletion. Methotrexate is indicated in the management of selected adults with severe, active rheumatoid arthritis (ACR criteria), or children with active polyarticular-course juvenile rheumatoid arthritis, who have had an insufficient therapeutic response to, or are intolerant of, an adequate trial of first-line therapy including full dose non-steroidal anti-inflammatory agents. Methotrexate is indicated for symptomatic control of severe, recalcitrant, disabling psoriasis that is not adequately responsive to other forms of therapy, but only when the diagnosis has been established, via biopsy and/or after dermatologic consultation. It is important to ensure that a psoriasis "flare" is not due to an undiagnosed concomitant disease affecting immune responses. In psoriasis, the rate of epithelial cell production in the skin is greatly increased over normal skin. This proliferation rate differential is the basis for </w:t>
      </w:r>
      <w:proofErr w:type="gramStart"/>
      <w:r>
        <w:t>methotrexate use</w:t>
      </w:r>
      <w:proofErr w:type="gramEnd"/>
      <w:r>
        <w:t xml:space="preserve"> to control the psoriatic process.</w:t>
      </w:r>
    </w:p>
    <w:p w14:paraId="646166E6" w14:textId="77777777" w:rsidR="00E71D12" w:rsidRDefault="00E71D12" w:rsidP="00E71D12"/>
    <w:p w14:paraId="05964CF2" w14:textId="07B563F8" w:rsidR="007A3034" w:rsidRDefault="00E71D12" w:rsidP="00E71D12">
      <w:r>
        <w:t>Total program savings for the PDL classes will be regularly reviewed.</w:t>
      </w:r>
    </w:p>
    <w:p w14:paraId="7DE7A6FC" w14:textId="77777777" w:rsidR="00E71D12" w:rsidRPr="002C2C41" w:rsidRDefault="00E71D12" w:rsidP="00E71D12">
      <w:pPr>
        <w:rPr>
          <w:rFonts w:cs="Arial"/>
          <w:szCs w:val="20"/>
        </w:rPr>
      </w:pPr>
    </w:p>
    <w:p w14:paraId="6CBEE541" w14:textId="3A362043" w:rsidR="00E90D11" w:rsidRDefault="009A0FB1" w:rsidP="00696E3A">
      <w:pPr>
        <w:rPr>
          <w:b/>
          <w:bCs/>
        </w:rPr>
      </w:pPr>
      <w:r>
        <w:rPr>
          <w:b/>
          <w:bCs/>
        </w:rPr>
        <w:t>Preferred Agents:</w:t>
      </w:r>
    </w:p>
    <w:p w14:paraId="77850366" w14:textId="77777777" w:rsidR="00310331" w:rsidRDefault="00310331" w:rsidP="00310331">
      <w:pPr>
        <w:pStyle w:val="ListParagraph"/>
      </w:pPr>
      <w:r>
        <w:t>Methotrexate PF Vials</w:t>
      </w:r>
    </w:p>
    <w:p w14:paraId="44E061C1" w14:textId="77777777" w:rsidR="00310331" w:rsidRDefault="00310331" w:rsidP="00310331">
      <w:pPr>
        <w:pStyle w:val="ListParagraph"/>
      </w:pPr>
      <w:r>
        <w:t>Methotrexate Tabs/Vials</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5BAE715D" w14:textId="77777777" w:rsidR="00F611CA" w:rsidRPr="00F611CA" w:rsidRDefault="00F611CA" w:rsidP="00F611CA">
      <w:pPr>
        <w:numPr>
          <w:ilvl w:val="0"/>
          <w:numId w:val="16"/>
        </w:numPr>
        <w:rPr>
          <w:rFonts w:cs="Arial"/>
          <w:color w:val="000000" w:themeColor="text1"/>
          <w:spacing w:val="-3"/>
          <w:szCs w:val="20"/>
        </w:rPr>
      </w:pPr>
      <w:r w:rsidRPr="00F611CA">
        <w:rPr>
          <w:rFonts w:cs="Arial"/>
          <w:color w:val="000000" w:themeColor="text1"/>
          <w:spacing w:val="-3"/>
          <w:szCs w:val="20"/>
        </w:rPr>
        <w:t xml:space="preserve">Jylamvo </w:t>
      </w:r>
    </w:p>
    <w:p w14:paraId="4E3FF14C" w14:textId="77777777" w:rsidR="00F611CA" w:rsidRPr="00F611CA" w:rsidRDefault="00F611CA" w:rsidP="00F611CA">
      <w:pPr>
        <w:numPr>
          <w:ilvl w:val="0"/>
          <w:numId w:val="16"/>
        </w:numPr>
        <w:rPr>
          <w:rFonts w:cs="Arial"/>
          <w:spacing w:val="-3"/>
          <w:szCs w:val="20"/>
        </w:rPr>
      </w:pPr>
      <w:r w:rsidRPr="00F611CA">
        <w:rPr>
          <w:rFonts w:cs="Arial"/>
          <w:spacing w:val="-3"/>
          <w:szCs w:val="20"/>
        </w:rPr>
        <w:t>Otrexup</w:t>
      </w:r>
      <w:r w:rsidRPr="00F611CA">
        <w:rPr>
          <w:rFonts w:cs="Arial"/>
          <w:spacing w:val="-3"/>
          <w:szCs w:val="20"/>
          <w:vertAlign w:val="superscript"/>
        </w:rPr>
        <w:t>®</w:t>
      </w:r>
      <w:r w:rsidRPr="00F611CA">
        <w:rPr>
          <w:rFonts w:cs="Arial"/>
          <w:spacing w:val="-3"/>
          <w:szCs w:val="20"/>
        </w:rPr>
        <w:t xml:space="preserve"> Auto-Injector</w:t>
      </w:r>
    </w:p>
    <w:p w14:paraId="0618DBC3" w14:textId="77777777" w:rsidR="00F611CA" w:rsidRPr="00F611CA" w:rsidRDefault="00F611CA" w:rsidP="00F611CA">
      <w:pPr>
        <w:numPr>
          <w:ilvl w:val="0"/>
          <w:numId w:val="16"/>
        </w:numPr>
        <w:rPr>
          <w:rFonts w:cs="Arial"/>
          <w:spacing w:val="-3"/>
          <w:szCs w:val="20"/>
        </w:rPr>
      </w:pPr>
      <w:r w:rsidRPr="00F611CA">
        <w:rPr>
          <w:rFonts w:cs="Arial"/>
          <w:spacing w:val="-3"/>
          <w:szCs w:val="20"/>
        </w:rPr>
        <w:t>Rasuvo</w:t>
      </w:r>
      <w:r w:rsidRPr="00F611CA">
        <w:rPr>
          <w:rFonts w:cs="Arial"/>
          <w:spacing w:val="-3"/>
          <w:szCs w:val="20"/>
          <w:vertAlign w:val="superscript"/>
        </w:rPr>
        <w:t>®</w:t>
      </w:r>
      <w:r w:rsidRPr="00F611CA">
        <w:rPr>
          <w:rFonts w:cs="Arial"/>
          <w:spacing w:val="-3"/>
          <w:szCs w:val="20"/>
        </w:rPr>
        <w:t xml:space="preserve"> Auto-Injector</w:t>
      </w:r>
    </w:p>
    <w:p w14:paraId="02B37194" w14:textId="77777777" w:rsidR="00F611CA" w:rsidRPr="00F611CA" w:rsidRDefault="00F611CA" w:rsidP="00F611CA">
      <w:pPr>
        <w:numPr>
          <w:ilvl w:val="0"/>
          <w:numId w:val="16"/>
        </w:numPr>
        <w:rPr>
          <w:rFonts w:cs="Arial"/>
          <w:spacing w:val="-3"/>
          <w:szCs w:val="20"/>
        </w:rPr>
      </w:pPr>
      <w:r w:rsidRPr="00F611CA">
        <w:rPr>
          <w:rFonts w:cs="Arial"/>
          <w:spacing w:val="-3"/>
          <w:szCs w:val="20"/>
        </w:rPr>
        <w:t>Trexall</w:t>
      </w:r>
      <w:r w:rsidRPr="00F611CA">
        <w:rPr>
          <w:rFonts w:cs="Arial"/>
          <w:spacing w:val="-3"/>
          <w:szCs w:val="20"/>
          <w:vertAlign w:val="superscript"/>
        </w:rPr>
        <w:t>®</w:t>
      </w:r>
      <w:r w:rsidRPr="00F611CA">
        <w:rPr>
          <w:rFonts w:cs="Arial"/>
          <w:spacing w:val="-3"/>
          <w:szCs w:val="20"/>
        </w:rPr>
        <w:t xml:space="preserve"> Tabs</w:t>
      </w:r>
    </w:p>
    <w:p w14:paraId="6D696800" w14:textId="3918F4E9" w:rsidR="00E23EC0" w:rsidRPr="00F611CA" w:rsidRDefault="00F611CA" w:rsidP="00F611CA">
      <w:pPr>
        <w:pStyle w:val="ListParagraph"/>
      </w:pPr>
      <w:r w:rsidRPr="00F611CA">
        <w:t>Xatmep</w:t>
      </w:r>
      <w:r w:rsidRPr="00F611CA">
        <w:rPr>
          <w:vertAlign w:val="superscript"/>
        </w:rPr>
        <w:t>®</w:t>
      </w:r>
      <w:r w:rsidRPr="00F611CA">
        <w:t xml:space="preserve"> Soln</w:t>
      </w:r>
    </w:p>
    <w:p w14:paraId="6413C027" w14:textId="18F824F6" w:rsidR="00AE77DB" w:rsidRPr="00C02553" w:rsidRDefault="00AE77DB" w:rsidP="00E354AA">
      <w:pPr>
        <w:pStyle w:val="Heading1"/>
        <w:rPr>
          <w:lang w:val="en-US"/>
        </w:rPr>
      </w:pPr>
      <w:r w:rsidRPr="00C02553">
        <w:rPr>
          <w:lang w:val="en-US"/>
        </w:rPr>
        <w:lastRenderedPageBreak/>
        <w:t xml:space="preserve">Setting &amp; Population </w:t>
      </w:r>
    </w:p>
    <w:p w14:paraId="04B7FBFB" w14:textId="588B5331" w:rsidR="0097028A" w:rsidRPr="0079438F" w:rsidRDefault="0097028A" w:rsidP="00696E3A">
      <w:pPr>
        <w:rPr>
          <w:b/>
        </w:rPr>
      </w:pPr>
      <w:r w:rsidRPr="00696E3A">
        <w:rPr>
          <w:b/>
          <w:bCs/>
        </w:rPr>
        <w:t>Drug class for review:</w:t>
      </w:r>
      <w:r w:rsidRPr="00C02553">
        <w:t xml:space="preserve"> </w:t>
      </w:r>
      <w:r w:rsidR="0036607F" w:rsidRPr="0036607F">
        <w:t>Methotrexate Agents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33B3A811" w14:textId="77777777" w:rsidR="000633C7" w:rsidRPr="000633C7" w:rsidRDefault="000633C7" w:rsidP="000633C7">
      <w:pPr>
        <w:numPr>
          <w:ilvl w:val="0"/>
          <w:numId w:val="18"/>
        </w:numPr>
        <w:rPr>
          <w:rFonts w:cs="Arial"/>
          <w:szCs w:val="20"/>
        </w:rPr>
      </w:pPr>
      <w:r w:rsidRPr="000633C7">
        <w:rPr>
          <w:rFonts w:cs="Arial"/>
          <w:szCs w:val="20"/>
        </w:rPr>
        <w:t>Must meet one of the following:</w:t>
      </w:r>
    </w:p>
    <w:p w14:paraId="0E436913" w14:textId="77777777" w:rsidR="000633C7" w:rsidRPr="000633C7" w:rsidRDefault="000633C7" w:rsidP="000633C7">
      <w:pPr>
        <w:numPr>
          <w:ilvl w:val="1"/>
          <w:numId w:val="18"/>
        </w:numPr>
        <w:ind w:left="720"/>
        <w:rPr>
          <w:rFonts w:cs="Arial"/>
          <w:szCs w:val="20"/>
        </w:rPr>
      </w:pPr>
      <w:r w:rsidRPr="000633C7">
        <w:rPr>
          <w:rFonts w:cs="Arial"/>
          <w:szCs w:val="20"/>
        </w:rPr>
        <w:t xml:space="preserve">Claim is for a preferred agent; </w:t>
      </w:r>
      <w:r w:rsidRPr="000633C7">
        <w:rPr>
          <w:rFonts w:cs="Arial"/>
          <w:b/>
          <w:bCs/>
          <w:szCs w:val="20"/>
        </w:rPr>
        <w:t>OR</w:t>
      </w:r>
    </w:p>
    <w:p w14:paraId="4B22A9A9" w14:textId="77777777" w:rsidR="000633C7" w:rsidRPr="000633C7" w:rsidRDefault="000633C7" w:rsidP="000633C7">
      <w:pPr>
        <w:numPr>
          <w:ilvl w:val="1"/>
          <w:numId w:val="18"/>
        </w:numPr>
        <w:ind w:left="720"/>
        <w:rPr>
          <w:rFonts w:cs="Arial"/>
          <w:szCs w:val="20"/>
        </w:rPr>
      </w:pPr>
      <w:r w:rsidRPr="000633C7">
        <w:rPr>
          <w:rFonts w:cs="Arial"/>
          <w:szCs w:val="20"/>
        </w:rPr>
        <w:t xml:space="preserve">Failure to achieve desired therapeutic outcomes with trial on 1 or more preferred agents; </w:t>
      </w:r>
    </w:p>
    <w:p w14:paraId="0BD3953C" w14:textId="77777777" w:rsidR="000633C7" w:rsidRPr="000633C7" w:rsidRDefault="000633C7" w:rsidP="000633C7">
      <w:pPr>
        <w:numPr>
          <w:ilvl w:val="2"/>
          <w:numId w:val="18"/>
        </w:numPr>
        <w:ind w:left="1080"/>
        <w:jc w:val="both"/>
        <w:rPr>
          <w:rFonts w:cs="Arial"/>
          <w:szCs w:val="20"/>
        </w:rPr>
      </w:pPr>
      <w:r w:rsidRPr="000633C7">
        <w:rPr>
          <w:rFonts w:cs="Arial"/>
          <w:szCs w:val="20"/>
        </w:rPr>
        <w:t xml:space="preserve">Documented trial period of preferred agents; </w:t>
      </w:r>
      <w:r w:rsidRPr="000633C7">
        <w:rPr>
          <w:rFonts w:cs="Arial"/>
          <w:b/>
          <w:bCs/>
          <w:szCs w:val="20"/>
        </w:rPr>
        <w:t>OR</w:t>
      </w:r>
    </w:p>
    <w:p w14:paraId="4F10D44C" w14:textId="77777777" w:rsidR="000633C7" w:rsidRPr="000633C7" w:rsidRDefault="000633C7" w:rsidP="000633C7">
      <w:pPr>
        <w:numPr>
          <w:ilvl w:val="2"/>
          <w:numId w:val="18"/>
        </w:numPr>
        <w:ind w:left="1080"/>
        <w:jc w:val="both"/>
        <w:rPr>
          <w:rFonts w:cs="Arial"/>
          <w:szCs w:val="20"/>
        </w:rPr>
      </w:pPr>
      <w:r w:rsidRPr="000633C7">
        <w:rPr>
          <w:rFonts w:cs="Arial"/>
          <w:szCs w:val="20"/>
        </w:rPr>
        <w:t>Documented ADE/ADR to preferred agents.</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68A41C31" w14:textId="77777777" w:rsidR="00361A04" w:rsidRPr="00361A04" w:rsidRDefault="00361A04" w:rsidP="00361A04">
      <w:pPr>
        <w:numPr>
          <w:ilvl w:val="0"/>
          <w:numId w:val="18"/>
        </w:numPr>
        <w:contextualSpacing/>
        <w:rPr>
          <w:rFonts w:cs="Arial"/>
          <w:noProof/>
          <w:szCs w:val="20"/>
        </w:rPr>
      </w:pPr>
      <w:r w:rsidRPr="00361A04">
        <w:rPr>
          <w:rFonts w:cs="Arial"/>
          <w:noProof/>
          <w:szCs w:val="20"/>
        </w:rPr>
        <w:t>Therapy will deny with the presence of one of the following:</w:t>
      </w:r>
    </w:p>
    <w:p w14:paraId="7ADA825A" w14:textId="77777777" w:rsidR="00361A04" w:rsidRPr="00361A04" w:rsidRDefault="00361A04" w:rsidP="00361A04">
      <w:pPr>
        <w:numPr>
          <w:ilvl w:val="1"/>
          <w:numId w:val="18"/>
        </w:numPr>
        <w:ind w:left="720"/>
        <w:contextualSpacing/>
        <w:rPr>
          <w:rFonts w:cs="Arial"/>
          <w:noProof/>
          <w:szCs w:val="20"/>
        </w:rPr>
      </w:pPr>
      <w:r w:rsidRPr="00361A04">
        <w:rPr>
          <w:rFonts w:cs="Arial"/>
          <w:noProof/>
          <w:szCs w:val="20"/>
        </w:rPr>
        <w:t>Any approval criteria are not met.</w:t>
      </w:r>
    </w:p>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3B851CFE" w14:textId="77777777" w:rsidR="00523E9B" w:rsidRPr="00523E9B" w:rsidRDefault="00523E9B" w:rsidP="00523E9B">
      <w:pPr>
        <w:numPr>
          <w:ilvl w:val="0"/>
          <w:numId w:val="19"/>
        </w:numPr>
        <w:rPr>
          <w:rFonts w:cs="Arial"/>
          <w:szCs w:val="20"/>
        </w:rPr>
      </w:pPr>
      <w:r w:rsidRPr="00523E9B">
        <w:rPr>
          <w:rFonts w:cs="Arial"/>
        </w:rPr>
        <w:t>Evidence-Based Medicine and Fiscal Analysis: “Methotrexate Products – Therapeutic Class Review”, Conduent Business Services, L.L.C., Richmond, VA; June 2021.</w:t>
      </w:r>
    </w:p>
    <w:p w14:paraId="7CB62279" w14:textId="77777777" w:rsidR="00523E9B" w:rsidRPr="00523E9B" w:rsidRDefault="00523E9B" w:rsidP="00523E9B">
      <w:pPr>
        <w:numPr>
          <w:ilvl w:val="0"/>
          <w:numId w:val="19"/>
        </w:numPr>
        <w:rPr>
          <w:rFonts w:cs="Arial"/>
          <w:szCs w:val="20"/>
        </w:rPr>
      </w:pPr>
      <w:r w:rsidRPr="00523E9B">
        <w:rPr>
          <w:rFonts w:cs="Arial"/>
        </w:rPr>
        <w:t>Evidence-Based Medicine Analysis: “Methotrexate”, UMKC-DIC; April 2025.</w:t>
      </w:r>
    </w:p>
    <w:p w14:paraId="725572DE" w14:textId="77777777" w:rsidR="00523E9B" w:rsidRPr="00523E9B" w:rsidRDefault="00523E9B" w:rsidP="00523E9B">
      <w:pPr>
        <w:numPr>
          <w:ilvl w:val="0"/>
          <w:numId w:val="19"/>
        </w:numPr>
        <w:rPr>
          <w:rFonts w:cs="Arial"/>
          <w:szCs w:val="20"/>
        </w:rPr>
      </w:pPr>
      <w:r w:rsidRPr="00523E9B">
        <w:rPr>
          <w:rFonts w:cs="Arial"/>
        </w:rPr>
        <w:t>2021 American College of Rheumatology Guideline for the Treatment of Rheumatoid Arthritis, Fraenkel L, et al. Arthritis Care Res (Hoboken) 2021 July; 73(7); 924-939.</w:t>
      </w:r>
    </w:p>
    <w:p w14:paraId="532492AD" w14:textId="1CD9C7D0" w:rsidR="00523E9B" w:rsidRPr="00523E9B" w:rsidRDefault="00523E9B" w:rsidP="00523E9B">
      <w:pPr>
        <w:numPr>
          <w:ilvl w:val="0"/>
          <w:numId w:val="19"/>
        </w:numPr>
        <w:rPr>
          <w:rFonts w:cs="Arial"/>
        </w:rPr>
      </w:pPr>
      <w:r w:rsidRPr="00523E9B">
        <w:rPr>
          <w:rFonts w:cs="Arial"/>
          <w:szCs w:val="20"/>
        </w:rPr>
        <w:t>USPDI, Micromedex; 202</w:t>
      </w:r>
      <w:r w:rsidR="00A8794B">
        <w:rPr>
          <w:rFonts w:cs="Arial"/>
          <w:szCs w:val="20"/>
        </w:rPr>
        <w:t>6</w:t>
      </w:r>
      <w:r w:rsidRPr="00523E9B">
        <w:rPr>
          <w:rFonts w:cs="Arial"/>
          <w:szCs w:val="20"/>
        </w:rPr>
        <w:t xml:space="preserve">. </w:t>
      </w:r>
    </w:p>
    <w:p w14:paraId="3D1BE392" w14:textId="30A0DBF3" w:rsidR="00523E9B" w:rsidRPr="00523E9B" w:rsidRDefault="00523E9B" w:rsidP="00523E9B">
      <w:pPr>
        <w:numPr>
          <w:ilvl w:val="0"/>
          <w:numId w:val="19"/>
        </w:numPr>
        <w:rPr>
          <w:rFonts w:cs="Arial"/>
        </w:rPr>
      </w:pPr>
      <w:r w:rsidRPr="00523E9B">
        <w:rPr>
          <w:rFonts w:cs="Arial"/>
          <w:szCs w:val="20"/>
        </w:rPr>
        <w:t>Facts and Comparisons eAnswers (online); 202</w:t>
      </w:r>
      <w:r w:rsidR="00A8794B">
        <w:rPr>
          <w:rFonts w:cs="Arial"/>
          <w:szCs w:val="20"/>
        </w:rPr>
        <w:t>6</w:t>
      </w:r>
      <w:r w:rsidRPr="00523E9B">
        <w:rPr>
          <w:rFonts w:cs="Arial"/>
          <w:szCs w:val="20"/>
        </w:rPr>
        <w:t xml:space="preserve"> Clinical Drug Information, LLC</w:t>
      </w:r>
    </w:p>
    <w:p w14:paraId="3FA1E7DB" w14:textId="323BCF1B" w:rsidR="00777CA4" w:rsidRDefault="00777CA4" w:rsidP="00523E9B">
      <w:pPr>
        <w:pStyle w:val="ListParagraph"/>
        <w:numPr>
          <w:ilvl w:val="0"/>
          <w:numId w:val="0"/>
        </w:numPr>
        <w:ind w:left="360"/>
      </w:pP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481B7" w14:textId="77777777" w:rsidR="001B303A" w:rsidRPr="00C02553" w:rsidRDefault="001B303A" w:rsidP="00AE77DB">
      <w:r w:rsidRPr="00C02553">
        <w:separator/>
      </w:r>
    </w:p>
  </w:endnote>
  <w:endnote w:type="continuationSeparator" w:id="0">
    <w:p w14:paraId="397AF3A0" w14:textId="77777777" w:rsidR="001B303A" w:rsidRPr="00C02553" w:rsidRDefault="001B303A" w:rsidP="00AE77DB">
      <w:r w:rsidRPr="00C02553">
        <w:continuationSeparator/>
      </w:r>
    </w:p>
  </w:endnote>
  <w:endnote w:type="continuationNotice" w:id="1">
    <w:p w14:paraId="22922A61" w14:textId="77777777" w:rsidR="001B303A" w:rsidRPr="00C02553" w:rsidRDefault="001B3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9507" w14:textId="77777777" w:rsidR="001B303A" w:rsidRPr="00C02553" w:rsidRDefault="001B303A" w:rsidP="00AE77DB">
      <w:r w:rsidRPr="00C02553">
        <w:separator/>
      </w:r>
    </w:p>
  </w:footnote>
  <w:footnote w:type="continuationSeparator" w:id="0">
    <w:p w14:paraId="3C217D54" w14:textId="77777777" w:rsidR="001B303A" w:rsidRPr="00C02553" w:rsidRDefault="001B303A" w:rsidP="00AE77DB">
      <w:r w:rsidRPr="00C02553">
        <w:continuationSeparator/>
      </w:r>
    </w:p>
  </w:footnote>
  <w:footnote w:type="continuationNotice" w:id="1">
    <w:p w14:paraId="6C83AA1E" w14:textId="77777777" w:rsidR="001B303A" w:rsidRPr="00C02553" w:rsidRDefault="001B30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E27005">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E27005">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E27005">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6CC6670"/>
    <w:multiLevelType w:val="hybridMultilevel"/>
    <w:tmpl w:val="40A2F2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25025"/>
    <w:multiLevelType w:val="hybridMultilevel"/>
    <w:tmpl w:val="937EC34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6"/>
  </w:num>
  <w:num w:numId="3" w16cid:durableId="1729067566">
    <w:abstractNumId w:val="4"/>
  </w:num>
  <w:num w:numId="4" w16cid:durableId="320159068">
    <w:abstractNumId w:val="8"/>
  </w:num>
  <w:num w:numId="5" w16cid:durableId="1769498754">
    <w:abstractNumId w:val="3"/>
  </w:num>
  <w:num w:numId="6" w16cid:durableId="1094596320">
    <w:abstractNumId w:val="14"/>
  </w:num>
  <w:num w:numId="7" w16cid:durableId="2110008555">
    <w:abstractNumId w:val="2"/>
  </w:num>
  <w:num w:numId="8" w16cid:durableId="489712751">
    <w:abstractNumId w:val="7"/>
  </w:num>
  <w:num w:numId="9" w16cid:durableId="1085147965">
    <w:abstractNumId w:val="11"/>
  </w:num>
  <w:num w:numId="10" w16cid:durableId="917518096">
    <w:abstractNumId w:val="9"/>
  </w:num>
  <w:num w:numId="11" w16cid:durableId="1894998475">
    <w:abstractNumId w:val="1"/>
  </w:num>
  <w:num w:numId="12" w16cid:durableId="1418215296">
    <w:abstractNumId w:val="15"/>
  </w:num>
  <w:num w:numId="13" w16cid:durableId="604729665">
    <w:abstractNumId w:val="6"/>
  </w:num>
  <w:num w:numId="14" w16cid:durableId="1805081292">
    <w:abstractNumId w:val="13"/>
  </w:num>
  <w:num w:numId="15" w16cid:durableId="1146817586">
    <w:abstractNumId w:val="14"/>
  </w:num>
  <w:num w:numId="16" w16cid:durableId="343360491">
    <w:abstractNumId w:val="5"/>
  </w:num>
  <w:num w:numId="17" w16cid:durableId="1812556969">
    <w:abstractNumId w:val="14"/>
  </w:num>
  <w:num w:numId="18" w16cid:durableId="1187911657">
    <w:abstractNumId w:val="12"/>
  </w:num>
  <w:num w:numId="19" w16cid:durableId="105909316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HpT/FBmLGwivugMdEIUym2zz0tJUcxAp8JbgiJ1aiOTwsBaqTpSEyDy/kubaRINqQ/WqQMi+wcea7k8O+zgoCA==" w:salt="nACHRUmk3LxNtPaHMGzPhA=="/>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07BF"/>
    <w:rsid w:val="000344C5"/>
    <w:rsid w:val="00040AD3"/>
    <w:rsid w:val="00053807"/>
    <w:rsid w:val="000572E5"/>
    <w:rsid w:val="00057F84"/>
    <w:rsid w:val="00061541"/>
    <w:rsid w:val="000633C7"/>
    <w:rsid w:val="00064162"/>
    <w:rsid w:val="00065C22"/>
    <w:rsid w:val="00066885"/>
    <w:rsid w:val="00066D02"/>
    <w:rsid w:val="00074464"/>
    <w:rsid w:val="00076030"/>
    <w:rsid w:val="00082590"/>
    <w:rsid w:val="000913C3"/>
    <w:rsid w:val="000953B9"/>
    <w:rsid w:val="000A413B"/>
    <w:rsid w:val="000A6279"/>
    <w:rsid w:val="000B496B"/>
    <w:rsid w:val="000C3940"/>
    <w:rsid w:val="000C5992"/>
    <w:rsid w:val="000E1479"/>
    <w:rsid w:val="000E21CC"/>
    <w:rsid w:val="000E231E"/>
    <w:rsid w:val="000E247D"/>
    <w:rsid w:val="000E6B14"/>
    <w:rsid w:val="000E70D8"/>
    <w:rsid w:val="001062F6"/>
    <w:rsid w:val="00112FC7"/>
    <w:rsid w:val="00125F5F"/>
    <w:rsid w:val="00126951"/>
    <w:rsid w:val="00126B60"/>
    <w:rsid w:val="001273EB"/>
    <w:rsid w:val="00127EF6"/>
    <w:rsid w:val="001310AD"/>
    <w:rsid w:val="001314A5"/>
    <w:rsid w:val="00132C7F"/>
    <w:rsid w:val="00144DBE"/>
    <w:rsid w:val="00152C8B"/>
    <w:rsid w:val="0015636A"/>
    <w:rsid w:val="00172053"/>
    <w:rsid w:val="00177A80"/>
    <w:rsid w:val="001A50CB"/>
    <w:rsid w:val="001A74B7"/>
    <w:rsid w:val="001B2D47"/>
    <w:rsid w:val="001B303A"/>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B6091"/>
    <w:rsid w:val="002B6347"/>
    <w:rsid w:val="002C2C41"/>
    <w:rsid w:val="002C62E7"/>
    <w:rsid w:val="002E05E2"/>
    <w:rsid w:val="002E2DD6"/>
    <w:rsid w:val="002E3F28"/>
    <w:rsid w:val="002F0E52"/>
    <w:rsid w:val="002F2274"/>
    <w:rsid w:val="002F2405"/>
    <w:rsid w:val="002F690F"/>
    <w:rsid w:val="0030301F"/>
    <w:rsid w:val="00303B21"/>
    <w:rsid w:val="0031033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61A04"/>
    <w:rsid w:val="0036607F"/>
    <w:rsid w:val="003663B5"/>
    <w:rsid w:val="003773E0"/>
    <w:rsid w:val="003878C1"/>
    <w:rsid w:val="00396C0B"/>
    <w:rsid w:val="003A211F"/>
    <w:rsid w:val="003A630F"/>
    <w:rsid w:val="003B3958"/>
    <w:rsid w:val="003B4820"/>
    <w:rsid w:val="003B5F4B"/>
    <w:rsid w:val="003B682F"/>
    <w:rsid w:val="003C53FC"/>
    <w:rsid w:val="003C7013"/>
    <w:rsid w:val="003D641B"/>
    <w:rsid w:val="003F227C"/>
    <w:rsid w:val="004023CC"/>
    <w:rsid w:val="00407564"/>
    <w:rsid w:val="00411152"/>
    <w:rsid w:val="004156AA"/>
    <w:rsid w:val="004253A1"/>
    <w:rsid w:val="004313B6"/>
    <w:rsid w:val="00433339"/>
    <w:rsid w:val="00446BBC"/>
    <w:rsid w:val="004472C0"/>
    <w:rsid w:val="00450705"/>
    <w:rsid w:val="00451928"/>
    <w:rsid w:val="00464BB4"/>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23E9B"/>
    <w:rsid w:val="005328B2"/>
    <w:rsid w:val="00535BD5"/>
    <w:rsid w:val="00537AC0"/>
    <w:rsid w:val="00540977"/>
    <w:rsid w:val="0054304E"/>
    <w:rsid w:val="00551668"/>
    <w:rsid w:val="0055358F"/>
    <w:rsid w:val="005572D5"/>
    <w:rsid w:val="00566BE4"/>
    <w:rsid w:val="00570D21"/>
    <w:rsid w:val="00573856"/>
    <w:rsid w:val="00576113"/>
    <w:rsid w:val="005815CB"/>
    <w:rsid w:val="00590652"/>
    <w:rsid w:val="0059235F"/>
    <w:rsid w:val="00596936"/>
    <w:rsid w:val="005A2F1E"/>
    <w:rsid w:val="005A4232"/>
    <w:rsid w:val="005B168B"/>
    <w:rsid w:val="005C3616"/>
    <w:rsid w:val="005C4147"/>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1693"/>
    <w:rsid w:val="006D2330"/>
    <w:rsid w:val="006E0F8B"/>
    <w:rsid w:val="006E12F7"/>
    <w:rsid w:val="006E29D7"/>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302E"/>
    <w:rsid w:val="007D42DD"/>
    <w:rsid w:val="007E6A37"/>
    <w:rsid w:val="007F05E3"/>
    <w:rsid w:val="007F1774"/>
    <w:rsid w:val="007F6915"/>
    <w:rsid w:val="008113D1"/>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6B05"/>
    <w:rsid w:val="008E7D2D"/>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73CB5"/>
    <w:rsid w:val="00984549"/>
    <w:rsid w:val="00985D28"/>
    <w:rsid w:val="00991BF0"/>
    <w:rsid w:val="009A0FB1"/>
    <w:rsid w:val="009A1FAC"/>
    <w:rsid w:val="009A2E52"/>
    <w:rsid w:val="009B001A"/>
    <w:rsid w:val="009B1A62"/>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02E"/>
    <w:rsid w:val="00A53E96"/>
    <w:rsid w:val="00A56F18"/>
    <w:rsid w:val="00A628F8"/>
    <w:rsid w:val="00A62BAA"/>
    <w:rsid w:val="00A66172"/>
    <w:rsid w:val="00A744C3"/>
    <w:rsid w:val="00A8794B"/>
    <w:rsid w:val="00AA70AB"/>
    <w:rsid w:val="00AB0B9F"/>
    <w:rsid w:val="00AB1713"/>
    <w:rsid w:val="00AB63BE"/>
    <w:rsid w:val="00AC1EBC"/>
    <w:rsid w:val="00AC2599"/>
    <w:rsid w:val="00AC2DE9"/>
    <w:rsid w:val="00AD0F62"/>
    <w:rsid w:val="00AD2C5F"/>
    <w:rsid w:val="00AE1481"/>
    <w:rsid w:val="00AE27F9"/>
    <w:rsid w:val="00AE3473"/>
    <w:rsid w:val="00AE5D48"/>
    <w:rsid w:val="00AE77DB"/>
    <w:rsid w:val="00AF7453"/>
    <w:rsid w:val="00B00FFF"/>
    <w:rsid w:val="00B04A72"/>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A7D47"/>
    <w:rsid w:val="00BB3B4D"/>
    <w:rsid w:val="00BC351E"/>
    <w:rsid w:val="00BC3F77"/>
    <w:rsid w:val="00BC5635"/>
    <w:rsid w:val="00BC5675"/>
    <w:rsid w:val="00BD081C"/>
    <w:rsid w:val="00BD277B"/>
    <w:rsid w:val="00BD47CA"/>
    <w:rsid w:val="00BD4DC4"/>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22C9"/>
    <w:rsid w:val="00C763BD"/>
    <w:rsid w:val="00C779A8"/>
    <w:rsid w:val="00C82E19"/>
    <w:rsid w:val="00C96873"/>
    <w:rsid w:val="00CA1735"/>
    <w:rsid w:val="00CA3C4B"/>
    <w:rsid w:val="00CA7252"/>
    <w:rsid w:val="00CB2C5A"/>
    <w:rsid w:val="00CE0C1C"/>
    <w:rsid w:val="00CE34AF"/>
    <w:rsid w:val="00CF00A4"/>
    <w:rsid w:val="00CF25FB"/>
    <w:rsid w:val="00CF614C"/>
    <w:rsid w:val="00D02F34"/>
    <w:rsid w:val="00D13D87"/>
    <w:rsid w:val="00D16590"/>
    <w:rsid w:val="00D20720"/>
    <w:rsid w:val="00D250D9"/>
    <w:rsid w:val="00D27533"/>
    <w:rsid w:val="00D42DA3"/>
    <w:rsid w:val="00D4546D"/>
    <w:rsid w:val="00D47996"/>
    <w:rsid w:val="00D61118"/>
    <w:rsid w:val="00D614F1"/>
    <w:rsid w:val="00D70D50"/>
    <w:rsid w:val="00D71917"/>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27005"/>
    <w:rsid w:val="00E320DD"/>
    <w:rsid w:val="00E34158"/>
    <w:rsid w:val="00E354AA"/>
    <w:rsid w:val="00E43D54"/>
    <w:rsid w:val="00E442FB"/>
    <w:rsid w:val="00E529DB"/>
    <w:rsid w:val="00E53A5E"/>
    <w:rsid w:val="00E6466A"/>
    <w:rsid w:val="00E71D12"/>
    <w:rsid w:val="00E72221"/>
    <w:rsid w:val="00E83428"/>
    <w:rsid w:val="00E84C58"/>
    <w:rsid w:val="00E873A5"/>
    <w:rsid w:val="00E90D11"/>
    <w:rsid w:val="00E915E5"/>
    <w:rsid w:val="00EB0367"/>
    <w:rsid w:val="00EB4FB9"/>
    <w:rsid w:val="00EB5BC8"/>
    <w:rsid w:val="00EC2738"/>
    <w:rsid w:val="00ED7B42"/>
    <w:rsid w:val="00EE3EA5"/>
    <w:rsid w:val="00EE613F"/>
    <w:rsid w:val="00EE6BD1"/>
    <w:rsid w:val="00EF0262"/>
    <w:rsid w:val="00EF070C"/>
    <w:rsid w:val="00EF0828"/>
    <w:rsid w:val="00EF6F8B"/>
    <w:rsid w:val="00F03898"/>
    <w:rsid w:val="00F1527A"/>
    <w:rsid w:val="00F2696B"/>
    <w:rsid w:val="00F27821"/>
    <w:rsid w:val="00F36759"/>
    <w:rsid w:val="00F4092A"/>
    <w:rsid w:val="00F41F69"/>
    <w:rsid w:val="00F43E41"/>
    <w:rsid w:val="00F4790C"/>
    <w:rsid w:val="00F47AEF"/>
    <w:rsid w:val="00F50C4B"/>
    <w:rsid w:val="00F54C08"/>
    <w:rsid w:val="00F553A2"/>
    <w:rsid w:val="00F6068C"/>
    <w:rsid w:val="00F611CA"/>
    <w:rsid w:val="00F62F33"/>
    <w:rsid w:val="00F63A52"/>
    <w:rsid w:val="00F730BA"/>
    <w:rsid w:val="00F80E20"/>
    <w:rsid w:val="00F903BE"/>
    <w:rsid w:val="00F95D04"/>
    <w:rsid w:val="00FA16EC"/>
    <w:rsid w:val="00FA2811"/>
    <w:rsid w:val="00FA2CFB"/>
    <w:rsid w:val="00FA4837"/>
    <w:rsid w:val="00FB1D33"/>
    <w:rsid w:val="00FB5E96"/>
    <w:rsid w:val="00FB678A"/>
    <w:rsid w:val="00FC008C"/>
    <w:rsid w:val="00FC05A0"/>
    <w:rsid w:val="00FC6758"/>
    <w:rsid w:val="00FD3014"/>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FB678A"/>
    <w:rPr>
      <w:sz w:val="16"/>
      <w:szCs w:val="16"/>
    </w:rPr>
  </w:style>
  <w:style w:type="paragraph" w:styleId="CommentSubject">
    <w:name w:val="annotation subject"/>
    <w:basedOn w:val="CommentText"/>
    <w:next w:val="CommentText"/>
    <w:link w:val="CommentSubjectChar"/>
    <w:uiPriority w:val="99"/>
    <w:semiHidden/>
    <w:unhideWhenUsed/>
    <w:rsid w:val="00FB678A"/>
    <w:rPr>
      <w:b/>
      <w:bCs/>
    </w:rPr>
  </w:style>
  <w:style w:type="character" w:customStyle="1" w:styleId="CommentTextChar">
    <w:name w:val="Comment Text Char"/>
    <w:basedOn w:val="DefaultParagraphFont"/>
    <w:link w:val="CommentText"/>
    <w:semiHidden/>
    <w:rsid w:val="00FB678A"/>
    <w:rPr>
      <w:rFonts w:ascii="Arial" w:hAnsi="Arial"/>
    </w:rPr>
  </w:style>
  <w:style w:type="character" w:customStyle="1" w:styleId="CommentSubjectChar">
    <w:name w:val="Comment Subject Char"/>
    <w:basedOn w:val="CommentTextChar"/>
    <w:link w:val="CommentSubject"/>
    <w:uiPriority w:val="99"/>
    <w:semiHidden/>
    <w:rsid w:val="00FB678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992BC-7C11-4A83-A97F-D2E41AE80BFC}">
  <ds:schemaRefs>
    <ds:schemaRef ds:uri="http://schemas.openxmlformats.org/package/2006/metadata/core-properties"/>
    <ds:schemaRef ds:uri="http://purl.org/dc/dcmitype/"/>
    <ds:schemaRef ds:uri="f5eefb00-5952-4f7e-8cf8-96f81cfadd01"/>
    <ds:schemaRef ds:uri="http://purl.org/dc/elements/1.1/"/>
    <ds:schemaRef ds:uri="http://schemas.microsoft.com/office/2006/metadata/properties"/>
    <ds:schemaRef ds:uri="http://schemas.microsoft.com/sharepoint/v3"/>
    <ds:schemaRef ds:uri="http://schemas.microsoft.com/office/infopath/2007/PartnerControls"/>
    <ds:schemaRef ds:uri="http://schemas.microsoft.com/office/2006/documentManagement/types"/>
    <ds:schemaRef ds:uri="aba01ddc-ae9a-4c9e-819c-7140b4239cde"/>
    <ds:schemaRef ds:uri="http://www.w3.org/XML/1998/namespace"/>
    <ds:schemaRef ds:uri="http://purl.org/dc/terms/"/>
  </ds:schemaRefs>
</ds:datastoreItem>
</file>

<file path=customXml/itemProps2.xml><?xml version="1.0" encoding="utf-8"?>
<ds:datastoreItem xmlns:ds="http://schemas.openxmlformats.org/officeDocument/2006/customXml" ds:itemID="{82D39CAA-E71F-4675-AD9A-9E9C3AB78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549</Words>
  <Characters>3354</Characters>
  <Application>Microsoft Office Word</Application>
  <DocSecurity>10</DocSecurity>
  <Lines>27</Lines>
  <Paragraphs>7</Paragraphs>
  <ScaleCrop>false</ScaleCrop>
  <HeadingPairs>
    <vt:vector size="2" baseType="variant">
      <vt:variant>
        <vt:lpstr>Title</vt:lpstr>
      </vt:variant>
      <vt:variant>
        <vt:i4>1</vt:i4>
      </vt:variant>
    </vt:vector>
  </HeadingPairs>
  <TitlesOfParts>
    <vt:vector size="1" baseType="lpstr">
      <vt:lpstr>Methotrexate-Agents_July_2026_Proposal</vt:lpstr>
    </vt:vector>
  </TitlesOfParts>
  <Company>DSS</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Methotrexate-Agents_July_2026_Proposal</dc:title>
  <dc:creator>DMS</dc:creator>
  <cp:lastModifiedBy>Heriford, Katherine</cp:lastModifiedBy>
  <cp:revision>42</cp:revision>
  <cp:lastPrinted>2018-10-31T20:17:00Z</cp:lastPrinted>
  <dcterms:created xsi:type="dcterms:W3CDTF">2025-09-19T16:48:00Z</dcterms:created>
  <dcterms:modified xsi:type="dcterms:W3CDTF">2026-07-06T21:54:00Z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docLang">
    <vt:lpwstr>en</vt:lpwstr>
  </property>
</Properties>
</file>