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F02E8D1" w:rsidR="004C5767" w:rsidRPr="008859E1" w:rsidRDefault="004C5767" w:rsidP="00D27533">
      <w:pPr>
        <w:pStyle w:val="tbody"/>
        <w:rPr>
          <w:b w:val="0"/>
          <w:bCs/>
        </w:rPr>
      </w:pPr>
      <w:r w:rsidRPr="00C02553">
        <w:t>Drug/Drug Class:</w:t>
      </w:r>
      <w:r w:rsidR="003B4820" w:rsidRPr="00573856">
        <w:rPr>
          <w:b w:val="0"/>
          <w:bCs/>
        </w:rPr>
        <w:t xml:space="preserve"> </w:t>
      </w:r>
      <w:r w:rsidR="00412246" w:rsidRPr="00412246">
        <w:rPr>
          <w:b w:val="0"/>
          <w:bCs/>
        </w:rPr>
        <w:t>Insulin, Non-Analogs PDL Edit</w:t>
      </w:r>
    </w:p>
    <w:p w14:paraId="7AD7FFCE" w14:textId="29004F88" w:rsidR="004C5767" w:rsidRPr="00C02553" w:rsidRDefault="004C5767" w:rsidP="00D27533">
      <w:pPr>
        <w:pStyle w:val="tbody"/>
      </w:pPr>
      <w:r w:rsidRPr="00C02553">
        <w:t>First Implementation Date:</w:t>
      </w:r>
      <w:r w:rsidRPr="00573856">
        <w:rPr>
          <w:b w:val="0"/>
          <w:bCs/>
        </w:rPr>
        <w:t xml:space="preserve"> </w:t>
      </w:r>
      <w:r w:rsidR="00F1733C" w:rsidRPr="00F1733C">
        <w:rPr>
          <w:b w:val="0"/>
          <w:bCs/>
        </w:rPr>
        <w:t>October 19, 2005</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041C190" w:rsidR="004C5767" w:rsidRPr="00D27533" w:rsidRDefault="004C5767" w:rsidP="5E159C28">
      <w:pPr>
        <w:pStyle w:val="tbody"/>
        <w:rPr>
          <w:b w:val="0"/>
          <w:spacing w:val="-3"/>
        </w:rPr>
      </w:pPr>
      <w:r w:rsidRPr="00C02553">
        <w:t xml:space="preserve">Criteria Status: </w:t>
      </w:r>
      <w:r w:rsidR="00566BE4" w:rsidRPr="5E159C28">
        <w:rPr>
          <w:b w:val="0"/>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CE57943" w14:textId="77777777" w:rsidR="00870B63" w:rsidRPr="0029047B" w:rsidRDefault="00870B63" w:rsidP="00870B63">
      <w:pPr>
        <w:rPr>
          <w:rFonts w:cs="Arial"/>
          <w:spacing w:val="-3"/>
        </w:rPr>
      </w:pPr>
      <w:r w:rsidRPr="00AB1560">
        <w:rPr>
          <w:rFonts w:cs="Arial"/>
          <w:spacing w:val="-3"/>
        </w:rPr>
        <w:t xml:space="preserve">Type 1 diabetes mellitus occurs when the body’s immune system destroys the insulin-secreting beta cells of the pancreas. The management of type 1 diabetes has changed dramatically over the past 30 years. New insulin strategies have improved the ability to maintain near-normal glycemia. </w:t>
      </w:r>
      <w:r w:rsidRPr="00AB1560">
        <w:rPr>
          <w:rFonts w:cs="Arial"/>
          <w:szCs w:val="20"/>
          <w:lang w:bidi="en-US"/>
        </w:rPr>
        <w:t>All non-analog insulins have demonstrated the ability to lower hemoglobin A1</w:t>
      </w:r>
      <w:r>
        <w:rPr>
          <w:rFonts w:cs="Arial"/>
          <w:szCs w:val="20"/>
          <w:lang w:bidi="en-US"/>
        </w:rPr>
        <w:t>C</w:t>
      </w:r>
      <w:r w:rsidRPr="00AB1560">
        <w:rPr>
          <w:rFonts w:cs="Arial"/>
          <w:lang w:bidi="en-US"/>
        </w:rPr>
        <w:t>. Efficacy and safety profiles are similar among the</w:t>
      </w:r>
      <w:r w:rsidRPr="00AB1560">
        <w:rPr>
          <w:rFonts w:cs="Arial"/>
          <w:spacing w:val="-3"/>
        </w:rPr>
        <w:t xml:space="preserve">se agents. </w:t>
      </w:r>
      <w:r w:rsidRPr="00AB1560">
        <w:rPr>
          <w:rFonts w:cs="Arial"/>
          <w:szCs w:val="20"/>
          <w:bdr w:val="none" w:sz="0" w:space="0" w:color="auto" w:frame="1"/>
          <w:lang w:bidi="en-US"/>
        </w:rPr>
        <w:t>Humulin</w:t>
      </w:r>
      <w:r w:rsidRPr="00AB1560">
        <w:rPr>
          <w:rFonts w:cs="Arial"/>
          <w:szCs w:val="20"/>
          <w:vertAlign w:val="superscript"/>
        </w:rPr>
        <w:t>®</w:t>
      </w:r>
      <w:r w:rsidRPr="00AB1560">
        <w:rPr>
          <w:rFonts w:cs="Arial"/>
          <w:szCs w:val="20"/>
          <w:bdr w:val="none" w:sz="0" w:space="0" w:color="auto" w:frame="1"/>
          <w:lang w:bidi="en-US"/>
        </w:rPr>
        <w:t xml:space="preserve"> N</w:t>
      </w:r>
      <w:r>
        <w:rPr>
          <w:rFonts w:cs="Arial"/>
          <w:szCs w:val="20"/>
          <w:bdr w:val="none" w:sz="0" w:space="0" w:color="auto" w:frame="1"/>
          <w:lang w:bidi="en-US"/>
        </w:rPr>
        <w:t xml:space="preserve"> and</w:t>
      </w:r>
      <w:r w:rsidRPr="00AB1560">
        <w:rPr>
          <w:rFonts w:cs="Arial"/>
          <w:szCs w:val="20"/>
          <w:bdr w:val="none" w:sz="0" w:space="0" w:color="auto" w:frame="1"/>
          <w:lang w:bidi="en-US"/>
        </w:rPr>
        <w:t xml:space="preserve"> Novolin</w:t>
      </w:r>
      <w:r w:rsidRPr="00AB1560">
        <w:rPr>
          <w:rFonts w:cs="Arial"/>
          <w:szCs w:val="20"/>
          <w:vertAlign w:val="superscript"/>
        </w:rPr>
        <w:t>®</w:t>
      </w:r>
      <w:r w:rsidRPr="00AB1560">
        <w:rPr>
          <w:rFonts w:cs="Arial"/>
          <w:szCs w:val="20"/>
          <w:bdr w:val="none" w:sz="0" w:space="0" w:color="auto" w:frame="1"/>
          <w:lang w:bidi="en-US"/>
        </w:rPr>
        <w:t xml:space="preserve"> N are intermediate-acting neutral protamine Hagedorn (NPH) insulins while Humulin</w:t>
      </w:r>
      <w:r w:rsidRPr="00AB1560">
        <w:rPr>
          <w:rFonts w:cs="Arial"/>
          <w:spacing w:val="-3"/>
          <w:szCs w:val="20"/>
          <w:vertAlign w:val="superscript"/>
        </w:rPr>
        <w:t>®</w:t>
      </w:r>
      <w:r w:rsidRPr="00AB1560">
        <w:rPr>
          <w:rFonts w:cs="Arial"/>
          <w:szCs w:val="20"/>
          <w:bdr w:val="none" w:sz="0" w:space="0" w:color="auto" w:frame="1"/>
          <w:lang w:bidi="en-US"/>
        </w:rPr>
        <w:t xml:space="preserve"> R, Novolin</w:t>
      </w:r>
      <w:r w:rsidRPr="00AB1560">
        <w:rPr>
          <w:rFonts w:cs="Arial"/>
          <w:spacing w:val="-3"/>
          <w:szCs w:val="20"/>
          <w:vertAlign w:val="superscript"/>
        </w:rPr>
        <w:t>®</w:t>
      </w:r>
      <w:r w:rsidRPr="00AB1560">
        <w:rPr>
          <w:rFonts w:cs="Arial"/>
          <w:szCs w:val="20"/>
          <w:bdr w:val="none" w:sz="0" w:space="0" w:color="auto" w:frame="1"/>
          <w:lang w:bidi="en-US"/>
        </w:rPr>
        <w:t xml:space="preserve"> R, and Humulin</w:t>
      </w:r>
      <w:r w:rsidRPr="00AB1560">
        <w:rPr>
          <w:rFonts w:cs="Arial"/>
          <w:spacing w:val="-3"/>
          <w:szCs w:val="20"/>
          <w:vertAlign w:val="superscript"/>
        </w:rPr>
        <w:t>®</w:t>
      </w:r>
      <w:r w:rsidRPr="00AB1560">
        <w:rPr>
          <w:rFonts w:cs="Arial"/>
          <w:szCs w:val="20"/>
          <w:bdr w:val="none" w:sz="0" w:space="0" w:color="auto" w:frame="1"/>
          <w:lang w:bidi="en-US"/>
        </w:rPr>
        <w:t xml:space="preserve"> R U-500 are short-acting regular insulins.</w:t>
      </w:r>
      <w:r w:rsidRPr="00AB1560">
        <w:rPr>
          <w:rFonts w:cs="Arial"/>
          <w:spacing w:val="-3"/>
          <w:szCs w:val="20"/>
        </w:rPr>
        <w:t xml:space="preserve"> Humulin R U-500 may be used in patients requiring &gt; 200 units of insulin per day.</w:t>
      </w:r>
      <w:r w:rsidRPr="00AB1560">
        <w:rPr>
          <w:bdr w:val="none" w:sz="0" w:space="0" w:color="auto" w:frame="1"/>
          <w:lang w:bidi="en-US"/>
        </w:rPr>
        <w:t xml:space="preserve"> </w:t>
      </w:r>
      <w:r w:rsidRPr="00AB1560">
        <w:rPr>
          <w:rFonts w:cs="Arial"/>
          <w:spacing w:val="-3"/>
        </w:rPr>
        <w:t>Factors such as onset, peak, and duration of action can influence the ability of an insulin regimen to help control glucose levels. Patient factors, including individual variations in insulin absorption, levels of exercise and types of meals consumed, also influence the effectiveness of insulin regimens.</w:t>
      </w:r>
      <w:r w:rsidRPr="0029047B">
        <w:rPr>
          <w:rFonts w:cs="Arial"/>
          <w:spacing w:val="-3"/>
        </w:rPr>
        <w:t xml:space="preserve">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6A2AB77" w14:textId="77777777" w:rsidR="0049444C" w:rsidRPr="00CF2B25" w:rsidRDefault="0049444C" w:rsidP="0049444C">
      <w:pPr>
        <w:pStyle w:val="ListParagraph"/>
      </w:pPr>
      <w:r w:rsidRPr="00CF2B25">
        <w:t>Humulin</w:t>
      </w:r>
      <w:r w:rsidRPr="00CF2B25">
        <w:rPr>
          <w:vertAlign w:val="superscript"/>
        </w:rPr>
        <w:t>®</w:t>
      </w:r>
      <w:r w:rsidRPr="00CF2B25">
        <w:t xml:space="preserve"> N Vial</w:t>
      </w:r>
    </w:p>
    <w:p w14:paraId="299897C0" w14:textId="77777777" w:rsidR="0049444C" w:rsidRPr="00CF2B25" w:rsidRDefault="0049444C" w:rsidP="0049444C">
      <w:pPr>
        <w:pStyle w:val="ListParagraph"/>
      </w:pPr>
      <w:r w:rsidRPr="00CF2B25">
        <w:t>Humulin</w:t>
      </w:r>
      <w:r w:rsidRPr="00CF2B25">
        <w:rPr>
          <w:vertAlign w:val="superscript"/>
        </w:rPr>
        <w:t>®</w:t>
      </w:r>
      <w:r w:rsidRPr="00CF2B25">
        <w:t xml:space="preserve"> R Vial</w:t>
      </w:r>
    </w:p>
    <w:p w14:paraId="5E0257F8" w14:textId="77777777" w:rsidR="0049444C" w:rsidRPr="00CF2B25" w:rsidRDefault="0049444C" w:rsidP="0049444C">
      <w:pPr>
        <w:pStyle w:val="ListParagraph"/>
        <w:rPr>
          <w:spacing w:val="-3"/>
        </w:rPr>
      </w:pPr>
      <w:r w:rsidRPr="00CF2B25">
        <w:t>Humulin</w:t>
      </w:r>
      <w:r w:rsidRPr="00CF2B25">
        <w:rPr>
          <w:vertAlign w:val="superscript"/>
        </w:rPr>
        <w:t>®</w:t>
      </w:r>
      <w:r w:rsidRPr="00CF2B25">
        <w:t xml:space="preserve"> R U-500 KwikPen</w:t>
      </w:r>
      <w:r w:rsidRPr="00CF2B25">
        <w:rPr>
          <w:vertAlign w:val="superscript"/>
        </w:rPr>
        <w:t>®</w:t>
      </w:r>
      <w:r w:rsidRPr="00CF2B25">
        <w:t>/Vial</w:t>
      </w:r>
    </w:p>
    <w:p w14:paraId="1AF5C047" w14:textId="77777777" w:rsidR="0049444C" w:rsidRPr="00CF2B25" w:rsidRDefault="0049444C" w:rsidP="0049444C">
      <w:pPr>
        <w:pStyle w:val="ListParagraph"/>
      </w:pPr>
      <w:r w:rsidRPr="00CF2B25">
        <w:t>Novolin</w:t>
      </w:r>
      <w:r w:rsidRPr="00CF2B25">
        <w:rPr>
          <w:vertAlign w:val="superscript"/>
        </w:rPr>
        <w:t>®</w:t>
      </w:r>
      <w:r w:rsidRPr="00CF2B25">
        <w:t xml:space="preserve"> N Vial</w:t>
      </w:r>
    </w:p>
    <w:p w14:paraId="1B21829C" w14:textId="75510660" w:rsidR="00846FA4" w:rsidRDefault="0049444C" w:rsidP="0049444C">
      <w:pPr>
        <w:pStyle w:val="ListParagraph"/>
      </w:pPr>
      <w:r w:rsidRPr="00CF2B25">
        <w:t>Novolin</w:t>
      </w:r>
      <w:r w:rsidRPr="00CF2B25">
        <w:rPr>
          <w:vertAlign w:val="superscript"/>
        </w:rPr>
        <w:t>®</w:t>
      </w:r>
      <w:r w:rsidRPr="00CF2B25">
        <w:t xml:space="preserve"> R Vial</w:t>
      </w:r>
      <w:r w:rsidRPr="00846FA4">
        <w:rPr>
          <w:vertAlign w:val="superscript"/>
        </w:rPr>
        <w:t xml:space="preserve">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57766D6C" w14:textId="77777777" w:rsidR="00CA299F" w:rsidRPr="00264255" w:rsidRDefault="00CA299F" w:rsidP="00CA299F">
      <w:pPr>
        <w:pStyle w:val="ListParagraph"/>
      </w:pPr>
      <w:r w:rsidRPr="00264255">
        <w:t>Humulin</w:t>
      </w:r>
      <w:r w:rsidRPr="00264255">
        <w:rPr>
          <w:vertAlign w:val="superscript"/>
        </w:rPr>
        <w:t>®</w:t>
      </w:r>
      <w:r w:rsidRPr="00264255">
        <w:t xml:space="preserve"> N KwikPen</w:t>
      </w:r>
      <w:r w:rsidRPr="00264255">
        <w:rPr>
          <w:vertAlign w:val="superscript"/>
        </w:rPr>
        <w:t>®</w:t>
      </w:r>
    </w:p>
    <w:p w14:paraId="75509DF3" w14:textId="77777777" w:rsidR="00CA299F" w:rsidRPr="00AF61AE" w:rsidRDefault="00CA299F" w:rsidP="00CA299F">
      <w:pPr>
        <w:pStyle w:val="ListParagraph"/>
      </w:pPr>
      <w:r w:rsidRPr="00AF61AE">
        <w:t>Novolin</w:t>
      </w:r>
      <w:r w:rsidRPr="00AF61AE">
        <w:rPr>
          <w:vertAlign w:val="superscript"/>
        </w:rPr>
        <w:t>®</w:t>
      </w:r>
      <w:r w:rsidRPr="00AF61AE">
        <w:t xml:space="preserve"> N FlexPen</w:t>
      </w:r>
      <w:r w:rsidRPr="00AF61AE">
        <w:rPr>
          <w:vertAlign w:val="superscript"/>
        </w:rPr>
        <w:t>®</w:t>
      </w:r>
    </w:p>
    <w:p w14:paraId="079F807A" w14:textId="6343DC45" w:rsidR="00846FA4" w:rsidRPr="00696E3A" w:rsidRDefault="00CA299F" w:rsidP="00CA299F">
      <w:pPr>
        <w:pStyle w:val="ListParagraph"/>
      </w:pPr>
      <w:r w:rsidRPr="009120F0">
        <w:t>Novolin</w:t>
      </w:r>
      <w:r w:rsidRPr="009120F0">
        <w:rPr>
          <w:vertAlign w:val="superscript"/>
        </w:rPr>
        <w:t>®</w:t>
      </w:r>
      <w:r w:rsidRPr="009120F0">
        <w:t xml:space="preserve"> R FlexPen</w:t>
      </w:r>
      <w:r w:rsidRPr="009120F0">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BBCFEE9" w:rsidR="0097028A" w:rsidRPr="0079438F" w:rsidRDefault="0097028A" w:rsidP="00696E3A">
      <w:pPr>
        <w:rPr>
          <w:b/>
        </w:rPr>
      </w:pPr>
      <w:r w:rsidRPr="00696E3A">
        <w:rPr>
          <w:b/>
          <w:bCs/>
        </w:rPr>
        <w:t>Drug class for review:</w:t>
      </w:r>
      <w:r w:rsidRPr="00C02553">
        <w:t xml:space="preserve"> </w:t>
      </w:r>
      <w:r w:rsidR="00ED29CF" w:rsidRPr="00ED29CF">
        <w:t>Insulin, Non-Analogs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93F5909" w14:textId="77777777" w:rsidR="007A7F72" w:rsidRDefault="007A7F72" w:rsidP="007A7F72">
      <w:pPr>
        <w:numPr>
          <w:ilvl w:val="0"/>
          <w:numId w:val="18"/>
        </w:numPr>
        <w:rPr>
          <w:rFonts w:cs="Arial"/>
          <w:szCs w:val="20"/>
        </w:rPr>
      </w:pPr>
      <w:r>
        <w:rPr>
          <w:rFonts w:cs="Arial"/>
          <w:szCs w:val="20"/>
        </w:rPr>
        <w:t>Must meet one of the following:</w:t>
      </w:r>
    </w:p>
    <w:p w14:paraId="1E478C4F" w14:textId="77777777" w:rsidR="007A7F72" w:rsidRDefault="007A7F72" w:rsidP="007A7F72">
      <w:pPr>
        <w:numPr>
          <w:ilvl w:val="1"/>
          <w:numId w:val="18"/>
        </w:numPr>
        <w:rPr>
          <w:rFonts w:cs="Arial"/>
          <w:szCs w:val="20"/>
        </w:rPr>
      </w:pPr>
      <w:r>
        <w:rPr>
          <w:rFonts w:cs="Arial"/>
          <w:szCs w:val="20"/>
        </w:rPr>
        <w:lastRenderedPageBreak/>
        <w:t xml:space="preserve">Claim is for a preferred </w:t>
      </w:r>
      <w:proofErr w:type="gramStart"/>
      <w:r>
        <w:rPr>
          <w:rFonts w:cs="Arial"/>
          <w:szCs w:val="20"/>
        </w:rPr>
        <w:t>agent;</w:t>
      </w:r>
      <w:proofErr w:type="gramEnd"/>
      <w:r>
        <w:rPr>
          <w:rFonts w:cs="Arial"/>
          <w:szCs w:val="20"/>
        </w:rPr>
        <w:t xml:space="preserve"> </w:t>
      </w:r>
      <w:r>
        <w:rPr>
          <w:rFonts w:cs="Arial"/>
          <w:b/>
          <w:bCs/>
          <w:szCs w:val="20"/>
        </w:rPr>
        <w:t>OR</w:t>
      </w:r>
    </w:p>
    <w:p w14:paraId="39DE649A" w14:textId="77777777" w:rsidR="007A7F72" w:rsidRPr="00C1018C" w:rsidRDefault="007A7F72" w:rsidP="007A7F72">
      <w:pPr>
        <w:numPr>
          <w:ilvl w:val="1"/>
          <w:numId w:val="18"/>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w:t>
      </w:r>
      <w:proofErr w:type="gramStart"/>
      <w:r w:rsidRPr="00C1018C">
        <w:rPr>
          <w:rFonts w:cs="Arial"/>
          <w:szCs w:val="20"/>
        </w:rPr>
        <w:t>agents</w:t>
      </w:r>
      <w:r>
        <w:rPr>
          <w:rFonts w:cs="Arial"/>
          <w:szCs w:val="20"/>
        </w:rPr>
        <w:t>;</w:t>
      </w:r>
      <w:proofErr w:type="gramEnd"/>
      <w:r w:rsidRPr="00C1018C">
        <w:rPr>
          <w:rFonts w:cs="Arial"/>
          <w:szCs w:val="20"/>
        </w:rPr>
        <w:t xml:space="preserve"> </w:t>
      </w:r>
    </w:p>
    <w:p w14:paraId="23C640BD" w14:textId="77777777" w:rsidR="007A7F72" w:rsidRPr="00C1018C" w:rsidRDefault="007A7F72" w:rsidP="007A7F72">
      <w:pPr>
        <w:numPr>
          <w:ilvl w:val="2"/>
          <w:numId w:val="18"/>
        </w:numPr>
        <w:jc w:val="both"/>
        <w:rPr>
          <w:rFonts w:cs="Arial"/>
          <w:szCs w:val="20"/>
        </w:rPr>
      </w:pPr>
      <w:r w:rsidRPr="00C1018C">
        <w:rPr>
          <w:rFonts w:cs="Arial"/>
          <w:szCs w:val="20"/>
        </w:rPr>
        <w:t>Documented trial period of preferred agents</w:t>
      </w:r>
      <w:r>
        <w:rPr>
          <w:rFonts w:cs="Arial"/>
          <w:szCs w:val="20"/>
        </w:rPr>
        <w:t xml:space="preserve">; </w:t>
      </w:r>
      <w:r w:rsidRPr="00FE4D52">
        <w:rPr>
          <w:rFonts w:cs="Arial"/>
          <w:b/>
          <w:bCs/>
          <w:szCs w:val="20"/>
        </w:rPr>
        <w:t>OR</w:t>
      </w:r>
    </w:p>
    <w:p w14:paraId="07AE4F81" w14:textId="77777777" w:rsidR="007A7F72" w:rsidRDefault="007A7F72" w:rsidP="007A7F72">
      <w:pPr>
        <w:numPr>
          <w:ilvl w:val="2"/>
          <w:numId w:val="18"/>
        </w:numPr>
        <w:jc w:val="both"/>
        <w:rPr>
          <w:rFonts w:cs="Arial"/>
          <w:szCs w:val="20"/>
        </w:rPr>
      </w:pPr>
      <w:r w:rsidRPr="00C1018C">
        <w:rPr>
          <w:rFonts w:cs="Arial"/>
          <w:szCs w:val="20"/>
        </w:rPr>
        <w:t>Documen</w:t>
      </w:r>
      <w:r>
        <w:rPr>
          <w:rFonts w:cs="Arial"/>
          <w:szCs w:val="20"/>
        </w:rPr>
        <w:t>ted ADE/ADR to preferred agents.</w:t>
      </w:r>
    </w:p>
    <w:p w14:paraId="452CCE39" w14:textId="77777777" w:rsidR="007A7F72" w:rsidRDefault="007A7F72" w:rsidP="007A7F72">
      <w:pPr>
        <w:numPr>
          <w:ilvl w:val="0"/>
          <w:numId w:val="18"/>
        </w:numPr>
        <w:jc w:val="both"/>
        <w:rPr>
          <w:rFonts w:cs="Arial"/>
          <w:szCs w:val="20"/>
        </w:rPr>
      </w:pPr>
      <w:r>
        <w:rPr>
          <w:rFonts w:cs="Arial"/>
          <w:szCs w:val="20"/>
        </w:rPr>
        <w:t>Additional approval criteria for Humulin R U-500:</w:t>
      </w:r>
    </w:p>
    <w:p w14:paraId="62F029AF" w14:textId="77777777" w:rsidR="007A7F72" w:rsidRDefault="007A7F72" w:rsidP="007A7F72">
      <w:pPr>
        <w:numPr>
          <w:ilvl w:val="1"/>
          <w:numId w:val="18"/>
        </w:numPr>
        <w:jc w:val="both"/>
        <w:rPr>
          <w:rFonts w:cs="Arial"/>
          <w:szCs w:val="20"/>
        </w:rPr>
      </w:pPr>
      <w:r>
        <w:rPr>
          <w:rFonts w:cs="Arial"/>
          <w:szCs w:val="20"/>
        </w:rPr>
        <w:t>Documented c</w:t>
      </w:r>
      <w:r w:rsidRPr="00E90948">
        <w:rPr>
          <w:rFonts w:cs="Arial"/>
          <w:szCs w:val="20"/>
        </w:rPr>
        <w:t xml:space="preserve">ompliance </w:t>
      </w:r>
      <w:r w:rsidRPr="00E90948">
        <w:rPr>
          <w:rFonts w:cs="Arial"/>
          <w:noProof/>
          <w:szCs w:val="20"/>
        </w:rPr>
        <w:t>on</w:t>
      </w:r>
      <w:r>
        <w:rPr>
          <w:rFonts w:cs="Arial"/>
          <w:szCs w:val="20"/>
        </w:rPr>
        <w:t xml:space="preserve"> prior i</w:t>
      </w:r>
      <w:r w:rsidRPr="00E90948">
        <w:rPr>
          <w:rFonts w:cs="Arial"/>
          <w:szCs w:val="20"/>
        </w:rPr>
        <w:t xml:space="preserve">nsulin </w:t>
      </w:r>
      <w:r>
        <w:rPr>
          <w:rFonts w:cs="Arial"/>
          <w:szCs w:val="20"/>
        </w:rPr>
        <w:t>t</w:t>
      </w:r>
      <w:r w:rsidRPr="00E90948">
        <w:rPr>
          <w:rFonts w:cs="Arial"/>
          <w:szCs w:val="20"/>
        </w:rPr>
        <w:t xml:space="preserve">herapy </w:t>
      </w:r>
      <w:r>
        <w:rPr>
          <w:rFonts w:cs="Arial"/>
          <w:szCs w:val="20"/>
        </w:rPr>
        <w:t>(90/120 days).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2A7BF074" w14:textId="029CBD97" w:rsidR="00CC1380" w:rsidRDefault="00904D7A" w:rsidP="00C722C9">
      <w:pPr>
        <w:pStyle w:val="ListParagraph"/>
        <w:numPr>
          <w:ilvl w:val="1"/>
          <w:numId w:val="6"/>
        </w:numPr>
      </w:pPr>
      <w:proofErr w:type="gramStart"/>
      <w:r w:rsidRPr="005328B2">
        <w:t>Any</w:t>
      </w:r>
      <w:proofErr w:type="gramEnd"/>
      <w:r w:rsidRPr="005328B2">
        <w:t xml:space="preserve"> approval criteria are not </w:t>
      </w:r>
      <w:r w:rsidR="00C54D71" w:rsidRPr="005328B2">
        <w:t>met.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490BC761" w14:textId="77777777" w:rsidR="00F96ADB" w:rsidRPr="008178D8" w:rsidRDefault="00F96ADB" w:rsidP="00F96ADB">
      <w:pPr>
        <w:pStyle w:val="ListParagraph"/>
      </w:pPr>
      <w:r w:rsidRPr="008178D8">
        <w:t xml:space="preserve">Evidence-Based Medicine and Fiscal Analysis: “Therapeutic Class Review: </w:t>
      </w:r>
      <w:r w:rsidRPr="001E3AF9">
        <w:t>ENDROCRINE AND METABOLIC AGENTS: Insulins, Non-Analogs</w:t>
      </w:r>
      <w:r w:rsidRPr="008178D8">
        <w:t xml:space="preserve">”, Gainwell Technologies; Last updated </w:t>
      </w:r>
      <w:r>
        <w:t>May 20, 2024</w:t>
      </w:r>
      <w:r w:rsidRPr="008178D8">
        <w:t>.</w:t>
      </w:r>
    </w:p>
    <w:p w14:paraId="63ECBF89" w14:textId="357C2689" w:rsidR="00F96ADB" w:rsidRDefault="00F96ADB" w:rsidP="00F96ADB">
      <w:pPr>
        <w:pStyle w:val="ListParagraph"/>
      </w:pPr>
      <w:bookmarkStart w:id="2" w:name="_Hlk34121003"/>
      <w:bookmarkStart w:id="3" w:name="_Hlk42766913"/>
      <w:r>
        <w:t xml:space="preserve">Evidence-Based Medicine Analysis: “Endocrine and Metabolic Agents: Insulins, Non-Analogs”, UMKC-DIC; </w:t>
      </w:r>
      <w:r w:rsidR="2FCBA6FF">
        <w:t>March</w:t>
      </w:r>
      <w:r>
        <w:t xml:space="preserve"> 202</w:t>
      </w:r>
      <w:r w:rsidR="0DE3417C">
        <w:t>6</w:t>
      </w:r>
      <w:r>
        <w:t>.</w:t>
      </w:r>
    </w:p>
    <w:bookmarkEnd w:id="2"/>
    <w:bookmarkEnd w:id="3"/>
    <w:p w14:paraId="0C7CC8CF" w14:textId="77777777" w:rsidR="00F96ADB" w:rsidRPr="00950FD3" w:rsidRDefault="00F96ADB" w:rsidP="00F96ADB">
      <w:pPr>
        <w:pStyle w:val="ListParagraph"/>
      </w:pPr>
      <w:r w:rsidRPr="001344EA">
        <w:t>American Diabetes Association Professional Practice Committee. Standards of Medical Care in Diabetes. Diabetes Care. 202</w:t>
      </w:r>
      <w:r>
        <w:t>5</w:t>
      </w:r>
      <w:r w:rsidRPr="001344EA">
        <w:t>; 4</w:t>
      </w:r>
      <w:r>
        <w:t>8</w:t>
      </w:r>
      <w:r w:rsidRPr="001344EA">
        <w:t>(suppl 1</w:t>
      </w:r>
      <w:proofErr w:type="gramStart"/>
      <w:r w:rsidRPr="001344EA">
        <w:t>):s</w:t>
      </w:r>
      <w:proofErr w:type="gramEnd"/>
      <w:r w:rsidRPr="001344EA">
        <w:t>1-s</w:t>
      </w:r>
      <w:r>
        <w:t>372</w:t>
      </w:r>
      <w:r w:rsidRPr="001344EA">
        <w:t>.</w:t>
      </w:r>
    </w:p>
    <w:p w14:paraId="2A305F1A" w14:textId="6BDE358D" w:rsidR="00F96ADB" w:rsidRPr="00700A44" w:rsidRDefault="00F96ADB" w:rsidP="00F96ADB">
      <w:pPr>
        <w:pStyle w:val="ListParagraph"/>
        <w:rPr>
          <w:rStyle w:val="normaltextrun"/>
          <w:rFonts w:cs="Arial"/>
        </w:rPr>
      </w:pPr>
      <w:r>
        <w:t>USPDI, Micromedex; 202</w:t>
      </w:r>
      <w:r w:rsidR="35803059">
        <w:t>6.</w:t>
      </w:r>
      <w:r>
        <w:t xml:space="preserve"> </w:t>
      </w:r>
    </w:p>
    <w:p w14:paraId="3FA1E7DB" w14:textId="5EF5838E" w:rsidR="00777CA4" w:rsidRDefault="00F96ADB" w:rsidP="00F96ADB">
      <w:pPr>
        <w:pStyle w:val="ListParagraph"/>
      </w:pPr>
      <w:r w:rsidRPr="5E159C28">
        <w:rPr>
          <w:rStyle w:val="normaltextrun"/>
          <w:rFonts w:cs="Arial"/>
        </w:rPr>
        <w:t>Facts and Comparisons </w:t>
      </w:r>
      <w:r w:rsidRPr="5E159C28">
        <w:rPr>
          <w:rStyle w:val="spellingerror"/>
          <w:rFonts w:cs="Arial"/>
        </w:rPr>
        <w:t>eAnswers</w:t>
      </w:r>
      <w:r w:rsidRPr="5E159C28">
        <w:rPr>
          <w:rStyle w:val="normaltextrun"/>
          <w:rFonts w:cs="Arial"/>
        </w:rPr>
        <w:t> (online); 202</w:t>
      </w:r>
      <w:r w:rsidR="4BA91FE5" w:rsidRPr="5E159C28">
        <w:rPr>
          <w:rStyle w:val="normaltextrun"/>
          <w:rFonts w:cs="Arial"/>
        </w:rPr>
        <w:t>6</w:t>
      </w:r>
      <w:r w:rsidRPr="5E159C28">
        <w:rPr>
          <w:rStyle w:val="normaltextrun"/>
          <w:rFonts w:cs="Arial"/>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6FBB" w14:textId="77777777" w:rsidR="001C3E89" w:rsidRPr="00C02553" w:rsidRDefault="001C3E89" w:rsidP="00AE77DB">
      <w:r w:rsidRPr="00C02553">
        <w:separator/>
      </w:r>
    </w:p>
  </w:endnote>
  <w:endnote w:type="continuationSeparator" w:id="0">
    <w:p w14:paraId="2D7EDB55" w14:textId="77777777" w:rsidR="001C3E89" w:rsidRPr="00C02553" w:rsidRDefault="001C3E89" w:rsidP="00AE77DB">
      <w:r w:rsidRPr="00C02553">
        <w:continuationSeparator/>
      </w:r>
    </w:p>
  </w:endnote>
  <w:endnote w:type="continuationNotice" w:id="1">
    <w:p w14:paraId="04C1985D" w14:textId="77777777" w:rsidR="001C3E89" w:rsidRPr="00C02553" w:rsidRDefault="001C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46CB" w14:textId="77777777" w:rsidR="001C3E89" w:rsidRPr="00C02553" w:rsidRDefault="001C3E89" w:rsidP="00AE77DB">
      <w:r w:rsidRPr="00C02553">
        <w:separator/>
      </w:r>
    </w:p>
  </w:footnote>
  <w:footnote w:type="continuationSeparator" w:id="0">
    <w:p w14:paraId="496DF5F0" w14:textId="77777777" w:rsidR="001C3E89" w:rsidRPr="00C02553" w:rsidRDefault="001C3E89" w:rsidP="00AE77DB">
      <w:r w:rsidRPr="00C02553">
        <w:continuationSeparator/>
      </w:r>
    </w:p>
  </w:footnote>
  <w:footnote w:type="continuationNotice" w:id="1">
    <w:p w14:paraId="595CBB5B" w14:textId="77777777" w:rsidR="001C3E89" w:rsidRPr="00C02553" w:rsidRDefault="001C3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22AD8">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22AD8">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22AD8">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A2788"/>
    <w:multiLevelType w:val="hybridMultilevel"/>
    <w:tmpl w:val="E21CC756"/>
    <w:lvl w:ilvl="0" w:tplc="2458C6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8A093A"/>
    <w:multiLevelType w:val="hybridMultilevel"/>
    <w:tmpl w:val="22C66C1A"/>
    <w:lvl w:ilvl="0" w:tplc="04090001">
      <w:start w:val="1"/>
      <w:numFmt w:val="bullet"/>
      <w:lvlText w:val=""/>
      <w:lvlJc w:val="left"/>
      <w:pPr>
        <w:tabs>
          <w:tab w:val="num" w:pos="159"/>
        </w:tabs>
        <w:ind w:left="159" w:hanging="360"/>
      </w:pPr>
      <w:rPr>
        <w:rFonts w:ascii="Symbol" w:hAnsi="Symbol" w:hint="default"/>
      </w:rPr>
    </w:lvl>
    <w:lvl w:ilvl="1" w:tplc="04090019" w:tentative="1">
      <w:start w:val="1"/>
      <w:numFmt w:val="lowerLetter"/>
      <w:lvlText w:val="%2."/>
      <w:lvlJc w:val="left"/>
      <w:pPr>
        <w:tabs>
          <w:tab w:val="num" w:pos="879"/>
        </w:tabs>
        <w:ind w:left="879" w:hanging="360"/>
      </w:pPr>
    </w:lvl>
    <w:lvl w:ilvl="2" w:tplc="0409001B" w:tentative="1">
      <w:start w:val="1"/>
      <w:numFmt w:val="lowerRoman"/>
      <w:lvlText w:val="%3."/>
      <w:lvlJc w:val="right"/>
      <w:pPr>
        <w:tabs>
          <w:tab w:val="num" w:pos="1599"/>
        </w:tabs>
        <w:ind w:left="1599" w:hanging="180"/>
      </w:pPr>
    </w:lvl>
    <w:lvl w:ilvl="3" w:tplc="0409000F" w:tentative="1">
      <w:start w:val="1"/>
      <w:numFmt w:val="decimal"/>
      <w:lvlText w:val="%4."/>
      <w:lvlJc w:val="left"/>
      <w:pPr>
        <w:tabs>
          <w:tab w:val="num" w:pos="2319"/>
        </w:tabs>
        <w:ind w:left="2319" w:hanging="360"/>
      </w:pPr>
    </w:lvl>
    <w:lvl w:ilvl="4" w:tplc="04090019" w:tentative="1">
      <w:start w:val="1"/>
      <w:numFmt w:val="lowerLetter"/>
      <w:lvlText w:val="%5."/>
      <w:lvlJc w:val="left"/>
      <w:pPr>
        <w:tabs>
          <w:tab w:val="num" w:pos="3039"/>
        </w:tabs>
        <w:ind w:left="3039" w:hanging="360"/>
      </w:pPr>
    </w:lvl>
    <w:lvl w:ilvl="5" w:tplc="0409001B" w:tentative="1">
      <w:start w:val="1"/>
      <w:numFmt w:val="lowerRoman"/>
      <w:lvlText w:val="%6."/>
      <w:lvlJc w:val="right"/>
      <w:pPr>
        <w:tabs>
          <w:tab w:val="num" w:pos="3759"/>
        </w:tabs>
        <w:ind w:left="3759" w:hanging="180"/>
      </w:pPr>
    </w:lvl>
    <w:lvl w:ilvl="6" w:tplc="0409000F" w:tentative="1">
      <w:start w:val="1"/>
      <w:numFmt w:val="decimal"/>
      <w:lvlText w:val="%7."/>
      <w:lvlJc w:val="left"/>
      <w:pPr>
        <w:tabs>
          <w:tab w:val="num" w:pos="4479"/>
        </w:tabs>
        <w:ind w:left="4479" w:hanging="360"/>
      </w:pPr>
    </w:lvl>
    <w:lvl w:ilvl="7" w:tplc="04090019" w:tentative="1">
      <w:start w:val="1"/>
      <w:numFmt w:val="lowerLetter"/>
      <w:lvlText w:val="%8."/>
      <w:lvlJc w:val="left"/>
      <w:pPr>
        <w:tabs>
          <w:tab w:val="num" w:pos="5199"/>
        </w:tabs>
        <w:ind w:left="5199" w:hanging="360"/>
      </w:pPr>
    </w:lvl>
    <w:lvl w:ilvl="8" w:tplc="0409001B" w:tentative="1">
      <w:start w:val="1"/>
      <w:numFmt w:val="lowerRoman"/>
      <w:lvlText w:val="%9."/>
      <w:lvlJc w:val="right"/>
      <w:pPr>
        <w:tabs>
          <w:tab w:val="num" w:pos="5919"/>
        </w:tabs>
        <w:ind w:left="5919" w:hanging="180"/>
      </w:p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7"/>
  </w:num>
  <w:num w:numId="13" w16cid:durableId="604729665">
    <w:abstractNumId w:val="6"/>
  </w:num>
  <w:num w:numId="14" w16cid:durableId="1805081292">
    <w:abstractNumId w:val="13"/>
  </w:num>
  <w:num w:numId="15" w16cid:durableId="1538271233">
    <w:abstractNumId w:val="15"/>
  </w:num>
  <w:num w:numId="16" w16cid:durableId="1276518432">
    <w:abstractNumId w:val="10"/>
  </w:num>
  <w:num w:numId="17" w16cid:durableId="754521697">
    <w:abstractNumId w:val="5"/>
  </w:num>
  <w:num w:numId="18" w16cid:durableId="1415735822">
    <w:abstractNumId w:val="12"/>
  </w:num>
  <w:num w:numId="19" w16cid:durableId="155650800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63AqT1NdqaEtOFqypqVZyztxxmk3BHHfftup6TZLVlA/PTO/064tbchrR/XHCrw6gveX7+USrAvEX3ydPw4ePg==" w:salt="YB3zhvlEC68scYrmTv28a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2AD8"/>
    <w:rsid w:val="000276D9"/>
    <w:rsid w:val="000344C5"/>
    <w:rsid w:val="00040AD3"/>
    <w:rsid w:val="00052417"/>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3E89"/>
    <w:rsid w:val="001C6DA4"/>
    <w:rsid w:val="001C73B1"/>
    <w:rsid w:val="001D131D"/>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2246"/>
    <w:rsid w:val="004156AA"/>
    <w:rsid w:val="004253A1"/>
    <w:rsid w:val="004313B6"/>
    <w:rsid w:val="00433339"/>
    <w:rsid w:val="00446BBC"/>
    <w:rsid w:val="004472C0"/>
    <w:rsid w:val="00450705"/>
    <w:rsid w:val="00451928"/>
    <w:rsid w:val="004605E6"/>
    <w:rsid w:val="0046618B"/>
    <w:rsid w:val="0048608C"/>
    <w:rsid w:val="0049444C"/>
    <w:rsid w:val="00496E57"/>
    <w:rsid w:val="004A3CFB"/>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1693"/>
    <w:rsid w:val="006D2330"/>
    <w:rsid w:val="006E0F8B"/>
    <w:rsid w:val="006E12F7"/>
    <w:rsid w:val="006E29D7"/>
    <w:rsid w:val="007068A4"/>
    <w:rsid w:val="00706D67"/>
    <w:rsid w:val="00713052"/>
    <w:rsid w:val="00721367"/>
    <w:rsid w:val="007231FA"/>
    <w:rsid w:val="00724F53"/>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A7F72"/>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70B63"/>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1AFC"/>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0F62"/>
    <w:rsid w:val="00AD2C5F"/>
    <w:rsid w:val="00AE1481"/>
    <w:rsid w:val="00AE27F9"/>
    <w:rsid w:val="00AE77DB"/>
    <w:rsid w:val="00AF7453"/>
    <w:rsid w:val="00B00FFF"/>
    <w:rsid w:val="00B04A72"/>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46491"/>
    <w:rsid w:val="00C54D71"/>
    <w:rsid w:val="00C56B1F"/>
    <w:rsid w:val="00C61B52"/>
    <w:rsid w:val="00C62745"/>
    <w:rsid w:val="00C654CA"/>
    <w:rsid w:val="00C722C9"/>
    <w:rsid w:val="00C763BD"/>
    <w:rsid w:val="00C779A8"/>
    <w:rsid w:val="00C82E19"/>
    <w:rsid w:val="00C96873"/>
    <w:rsid w:val="00CA1735"/>
    <w:rsid w:val="00CA299F"/>
    <w:rsid w:val="00CA3C4B"/>
    <w:rsid w:val="00CA7252"/>
    <w:rsid w:val="00CB2C5A"/>
    <w:rsid w:val="00CC1380"/>
    <w:rsid w:val="00CD658F"/>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66556"/>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16071"/>
    <w:rsid w:val="00E2369B"/>
    <w:rsid w:val="00E23EC0"/>
    <w:rsid w:val="00E30E02"/>
    <w:rsid w:val="00E34158"/>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29CF"/>
    <w:rsid w:val="00ED7B42"/>
    <w:rsid w:val="00EE3EA5"/>
    <w:rsid w:val="00EE613F"/>
    <w:rsid w:val="00EE6BD1"/>
    <w:rsid w:val="00EF0262"/>
    <w:rsid w:val="00EF0828"/>
    <w:rsid w:val="00EF6F8B"/>
    <w:rsid w:val="00F03898"/>
    <w:rsid w:val="00F1527A"/>
    <w:rsid w:val="00F1733C"/>
    <w:rsid w:val="00F2696B"/>
    <w:rsid w:val="00F27821"/>
    <w:rsid w:val="00F4092A"/>
    <w:rsid w:val="00F41F69"/>
    <w:rsid w:val="00F43E41"/>
    <w:rsid w:val="00F4790C"/>
    <w:rsid w:val="00F50C4B"/>
    <w:rsid w:val="00F54C08"/>
    <w:rsid w:val="00F553A2"/>
    <w:rsid w:val="00F6068C"/>
    <w:rsid w:val="00F62F33"/>
    <w:rsid w:val="00F63A52"/>
    <w:rsid w:val="00F730BA"/>
    <w:rsid w:val="00F80E20"/>
    <w:rsid w:val="00F903BE"/>
    <w:rsid w:val="00F95D04"/>
    <w:rsid w:val="00F96ADB"/>
    <w:rsid w:val="00FA16EC"/>
    <w:rsid w:val="00FA2811"/>
    <w:rsid w:val="00FA2CFB"/>
    <w:rsid w:val="00FA4837"/>
    <w:rsid w:val="00FB1D33"/>
    <w:rsid w:val="00FB5E96"/>
    <w:rsid w:val="00FC008C"/>
    <w:rsid w:val="00FC05A0"/>
    <w:rsid w:val="00FC6758"/>
    <w:rsid w:val="00FD3014"/>
    <w:rsid w:val="00FD34EA"/>
    <w:rsid w:val="00FE2DF1"/>
    <w:rsid w:val="00FE3F3E"/>
    <w:rsid w:val="00FE4D52"/>
    <w:rsid w:val="00FE5AEE"/>
    <w:rsid w:val="00FF106B"/>
    <w:rsid w:val="0DE3417C"/>
    <w:rsid w:val="2FCBA6FF"/>
    <w:rsid w:val="35803059"/>
    <w:rsid w:val="4BA91FE5"/>
    <w:rsid w:val="5E159C28"/>
    <w:rsid w:val="6EB7A09E"/>
    <w:rsid w:val="70E341D6"/>
    <w:rsid w:val="7B9FB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F96ADB"/>
  </w:style>
  <w:style w:type="character" w:styleId="CommentReference">
    <w:name w:val="annotation reference"/>
    <w:basedOn w:val="DefaultParagraphFont"/>
    <w:uiPriority w:val="99"/>
    <w:semiHidden/>
    <w:unhideWhenUsed/>
    <w:rsid w:val="00C46491"/>
    <w:rPr>
      <w:sz w:val="16"/>
      <w:szCs w:val="16"/>
    </w:rPr>
  </w:style>
  <w:style w:type="paragraph" w:styleId="CommentSubject">
    <w:name w:val="annotation subject"/>
    <w:basedOn w:val="CommentText"/>
    <w:next w:val="CommentText"/>
    <w:link w:val="CommentSubjectChar"/>
    <w:uiPriority w:val="99"/>
    <w:semiHidden/>
    <w:unhideWhenUsed/>
    <w:rsid w:val="00C46491"/>
    <w:rPr>
      <w:b/>
      <w:bCs/>
    </w:rPr>
  </w:style>
  <w:style w:type="character" w:customStyle="1" w:styleId="CommentTextChar">
    <w:name w:val="Comment Text Char"/>
    <w:basedOn w:val="DefaultParagraphFont"/>
    <w:link w:val="CommentText"/>
    <w:semiHidden/>
    <w:rsid w:val="00C46491"/>
    <w:rPr>
      <w:rFonts w:ascii="Arial" w:hAnsi="Arial"/>
    </w:rPr>
  </w:style>
  <w:style w:type="character" w:customStyle="1" w:styleId="CommentSubjectChar">
    <w:name w:val="Comment Subject Char"/>
    <w:basedOn w:val="CommentTextChar"/>
    <w:link w:val="CommentSubject"/>
    <w:uiPriority w:val="99"/>
    <w:semiHidden/>
    <w:rsid w:val="00C4649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DE8C6A0C-7FFE-4868-BD4A-1FE306051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f5eefb00-5952-4f7e-8cf8-96f81cfadd0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aba01ddc-ae9a-4c9e-819c-7140b4239cde"/>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2514</Characters>
  <Application>Microsoft Office Word</Application>
  <DocSecurity>10</DocSecurity>
  <Lines>20</Lines>
  <Paragraphs>5</Paragraphs>
  <ScaleCrop>false</ScaleCrop>
  <HeadingPairs>
    <vt:vector size="2" baseType="variant">
      <vt:variant>
        <vt:lpstr>Title</vt:lpstr>
      </vt:variant>
      <vt:variant>
        <vt:i4>1</vt:i4>
      </vt:variant>
    </vt:vector>
  </HeadingPairs>
  <TitlesOfParts>
    <vt:vector size="1" baseType="lpstr">
      <vt:lpstr>Insulin, Non-Analogs PDL Edit</vt:lpstr>
    </vt:vector>
  </TitlesOfParts>
  <Company>DSS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Insulin, Non-Analogs PDL Edit</dc:title>
  <dc:creator>DMS</dc:creator>
  <cp:lastModifiedBy>Heriford, Katherine</cp:lastModifiedBy>
  <cp:revision>18</cp:revision>
  <cp:lastPrinted>2018-10-31T20:17:00Z</cp:lastPrinted>
  <dcterms:created xsi:type="dcterms:W3CDTF">2026-05-07T00:27:00Z</dcterms:created>
  <dcterms:modified xsi:type="dcterms:W3CDTF">2026-07-06T21:53:00Z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