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5BB4138F" w:rsidR="004C5767" w:rsidRPr="00CB7185" w:rsidRDefault="004C5767" w:rsidP="00D27533">
      <w:pPr>
        <w:pStyle w:val="tbody"/>
        <w:rPr>
          <w:b w:val="0"/>
          <w:bCs/>
        </w:rPr>
      </w:pPr>
      <w:r w:rsidRPr="00C02553">
        <w:t>Drug/Drug Class:</w:t>
      </w:r>
      <w:r w:rsidR="003B4820">
        <w:t xml:space="preserve"> </w:t>
      </w:r>
      <w:proofErr w:type="spellStart"/>
      <w:r w:rsidR="00CB7185">
        <w:rPr>
          <w:b w:val="0"/>
          <w:bCs/>
        </w:rPr>
        <w:t>Besremi</w:t>
      </w:r>
      <w:proofErr w:type="spellEnd"/>
      <w:r w:rsidR="00CB7185">
        <w:rPr>
          <w:b w:val="0"/>
          <w:bCs/>
        </w:rPr>
        <w:t xml:space="preserve"> Clinical Edit</w:t>
      </w:r>
    </w:p>
    <w:p w14:paraId="7AD7FFCE" w14:textId="0ACADDB4" w:rsidR="004C5767" w:rsidRPr="00C02553" w:rsidRDefault="004C5767" w:rsidP="00D27533">
      <w:pPr>
        <w:pStyle w:val="tbody"/>
      </w:pPr>
      <w:r w:rsidRPr="00C02553">
        <w:t xml:space="preserve">First Implementation Date: </w:t>
      </w:r>
      <w:r w:rsidR="00DF17AB" w:rsidRPr="00DF17AB">
        <w:rPr>
          <w:b w:val="0"/>
          <w:bCs/>
        </w:rPr>
        <w:t>October 20, 2022</w:t>
      </w:r>
    </w:p>
    <w:p w14:paraId="4B7D760D" w14:textId="4B647F9E" w:rsidR="004C5767" w:rsidRPr="00D232D9" w:rsidRDefault="00D95E68" w:rsidP="15EB50BA">
      <w:pPr>
        <w:pStyle w:val="tbody"/>
        <w:rPr>
          <w:b w:val="0"/>
        </w:rPr>
      </w:pPr>
      <w:r>
        <w:t>Proposed</w:t>
      </w:r>
      <w:r w:rsidR="004C5767">
        <w:t xml:space="preserve"> Date:</w:t>
      </w:r>
      <w:r w:rsidR="00065C22">
        <w:t xml:space="preserve"> </w:t>
      </w:r>
      <w:r w:rsidR="00F62763">
        <w:rPr>
          <w:b w:val="0"/>
        </w:rPr>
        <w:t>July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56D69ACF" w:rsidR="004C5767" w:rsidRPr="00D27533" w:rsidRDefault="004C5767" w:rsidP="00D27533">
      <w:pPr>
        <w:pStyle w:val="tbody"/>
        <w:rPr>
          <w:b w:val="0"/>
          <w:bCs/>
          <w:spacing w:val="-3"/>
        </w:rPr>
      </w:pPr>
      <w:r w:rsidRPr="00C02553">
        <w:t xml:space="preserve">Criteria Status: </w:t>
      </w:r>
      <w:r w:rsidR="00566BE4" w:rsidRPr="002F15BD">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170E8248" w:rsidR="00D47996" w:rsidRDefault="79EEA449" w:rsidP="00696E3A">
      <w:r>
        <w:t>Ensure appropriate utilization and control of</w:t>
      </w:r>
      <w:r w:rsidR="00D47996">
        <w:t xml:space="preserve"> </w:t>
      </w:r>
      <w:r w:rsidR="0063394F">
        <w:rPr>
          <w:rFonts w:cs="Arial"/>
          <w:spacing w:val="-3"/>
        </w:rPr>
        <w:t>Besremi</w:t>
      </w:r>
      <w:r w:rsidR="0063394F" w:rsidRPr="001B423B">
        <w:rPr>
          <w:rFonts w:cs="Arial"/>
          <w:spacing w:val="-3"/>
          <w:vertAlign w:val="superscript"/>
        </w:rPr>
        <w:t>®</w:t>
      </w:r>
      <w:r w:rsidR="0063394F">
        <w:rPr>
          <w:rFonts w:cs="Arial"/>
          <w:spacing w:val="-3"/>
        </w:rPr>
        <w:t xml:space="preserve"> (ropeginterferon alfa-2b-njft).</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0B3812BD" w14:textId="77777777" w:rsidR="00810E5C" w:rsidRDefault="00810E5C" w:rsidP="00810E5C">
      <w:pPr>
        <w:pStyle w:val="Header"/>
        <w:rPr>
          <w:rFonts w:cs="Arial"/>
          <w:spacing w:val="-3"/>
          <w:sz w:val="20"/>
        </w:rPr>
      </w:pPr>
      <w:r>
        <w:rPr>
          <w:rFonts w:cs="Arial"/>
          <w:spacing w:val="-3"/>
          <w:sz w:val="20"/>
        </w:rPr>
        <w:t>Besremi</w:t>
      </w:r>
      <w:r w:rsidRPr="001B423B">
        <w:rPr>
          <w:rFonts w:cs="Arial"/>
          <w:spacing w:val="-3"/>
          <w:sz w:val="20"/>
          <w:vertAlign w:val="superscript"/>
        </w:rPr>
        <w:t>®</w:t>
      </w:r>
      <w:r>
        <w:rPr>
          <w:rFonts w:cs="Arial"/>
          <w:spacing w:val="-3"/>
          <w:sz w:val="20"/>
        </w:rPr>
        <w:t xml:space="preserve"> (ropeginterferon alfa-2b-njft) was FDA approved on November 12, 2021, for the treatment of adult patients with polycythemia vera. Polycythemia vera is the most common of the chronic myeloproliferative neoplasms (MPNs) and differs from the other MPNs by the presence of an elevated red blood cell mass (erythrocytosis). Serious complications of polycythemia vera include increased risk of blood clots and disease transformation into myelofibrosis or acute myeloid leukemia. Polycythemia vera may occur in any patient population or any age, however the median age at diagnosis is 60 years. Prevalence is estimated at 44 to 57 per 100,000 people in the United States. </w:t>
      </w:r>
    </w:p>
    <w:p w14:paraId="0133850D" w14:textId="77777777" w:rsidR="00810E5C" w:rsidRDefault="00810E5C" w:rsidP="00810E5C">
      <w:pPr>
        <w:pStyle w:val="Header"/>
        <w:rPr>
          <w:rFonts w:cs="Arial"/>
          <w:spacing w:val="-3"/>
          <w:sz w:val="20"/>
        </w:rPr>
      </w:pPr>
    </w:p>
    <w:p w14:paraId="3083F387" w14:textId="77777777" w:rsidR="00810E5C" w:rsidRDefault="00810E5C" w:rsidP="00810E5C">
      <w:pPr>
        <w:pStyle w:val="Header"/>
        <w:rPr>
          <w:rFonts w:cs="Arial"/>
          <w:spacing w:val="-3"/>
          <w:sz w:val="20"/>
        </w:rPr>
      </w:pPr>
      <w:r>
        <w:rPr>
          <w:rFonts w:cs="Arial"/>
          <w:spacing w:val="-3"/>
          <w:sz w:val="20"/>
        </w:rPr>
        <w:t xml:space="preserve">Besremi belongs to the class of type 1 interferons, which exhibit their cellular effect in polycythemia vera in the bone marrow. After binding to the interferon alfa receptor (IFNAR), Besremi initiates a downstream signaling cascade that reduces blood cell production. It is the first FDA-approved agent for polycythemia vera that can be utilized regardless of treatment history. </w:t>
      </w:r>
    </w:p>
    <w:p w14:paraId="51225789" w14:textId="77777777" w:rsidR="00810E5C" w:rsidRDefault="00810E5C" w:rsidP="00810E5C">
      <w:pPr>
        <w:pStyle w:val="Header"/>
        <w:rPr>
          <w:rFonts w:cs="Arial"/>
          <w:spacing w:val="-3"/>
          <w:sz w:val="20"/>
        </w:rPr>
      </w:pPr>
    </w:p>
    <w:p w14:paraId="7ACECC9F" w14:textId="2D8511C7" w:rsidR="00B56DCC" w:rsidRDefault="00810E5C" w:rsidP="00810E5C">
      <w:pPr>
        <w:rPr>
          <w:rFonts w:cs="Arial"/>
          <w:spacing w:val="-3"/>
        </w:rPr>
      </w:pPr>
      <w:r>
        <w:rPr>
          <w:rFonts w:cs="Arial"/>
          <w:spacing w:val="-3"/>
        </w:rPr>
        <w:t>Due to the high cost and specific approved indications, MO HealthNet will impose clinical criteria to ensure appropriate utilization of Besremi.</w:t>
      </w:r>
    </w:p>
    <w:p w14:paraId="2936DA1C" w14:textId="77777777" w:rsidR="00810E5C" w:rsidRDefault="00810E5C" w:rsidP="00810E5C"/>
    <w:p w14:paraId="5B5260CF" w14:textId="69DBD390" w:rsidR="003D4704" w:rsidRPr="00AD17B7" w:rsidRDefault="003D4704" w:rsidP="003D4704">
      <w:r>
        <w:rPr>
          <w:b/>
          <w:bCs/>
        </w:rPr>
        <w:t xml:space="preserve">Program-Specific Information: </w:t>
      </w:r>
      <w:r>
        <w:t>Dat</w:t>
      </w:r>
      <w:r w:rsidR="00ED760F">
        <w:t>e</w:t>
      </w:r>
      <w:r>
        <w:t xml:space="preserve"> Ranges FFS </w:t>
      </w:r>
      <w:r w:rsidR="00F62763">
        <w:t>4-1</w:t>
      </w:r>
      <w:r>
        <w:t>-202</w:t>
      </w:r>
      <w:r w:rsidR="00F62763">
        <w:t>5</w:t>
      </w:r>
      <w:r>
        <w:t xml:space="preserve"> to </w:t>
      </w:r>
      <w:r w:rsidR="00F62763">
        <w:t>3</w:t>
      </w:r>
      <w:r>
        <w:t>-3</w:t>
      </w:r>
      <w:r w:rsidR="00F62763">
        <w:t>1</w:t>
      </w:r>
      <w:r>
        <w:t>-202</w:t>
      </w:r>
      <w:r w:rsidR="00F62763">
        <w:t>6</w:t>
      </w:r>
    </w:p>
    <w:tbl>
      <w:tblPr>
        <w:tblW w:w="9265" w:type="dxa"/>
        <w:jc w:val="center"/>
        <w:tblLayout w:type="fixed"/>
        <w:tblLook w:val="04A0" w:firstRow="1" w:lastRow="0" w:firstColumn="1" w:lastColumn="0" w:noHBand="0" w:noVBand="1"/>
      </w:tblPr>
      <w:tblGrid>
        <w:gridCol w:w="2340"/>
        <w:gridCol w:w="1530"/>
        <w:gridCol w:w="1722"/>
        <w:gridCol w:w="1783"/>
        <w:gridCol w:w="1890"/>
      </w:tblGrid>
      <w:tr w:rsidR="00110F6B" w:rsidRPr="00902CF9" w14:paraId="7E639B47" w14:textId="34DD7267" w:rsidTr="00155BD8">
        <w:trPr>
          <w:trHeight w:val="232"/>
          <w:jc w:val="center"/>
        </w:trPr>
        <w:tc>
          <w:tcPr>
            <w:tcW w:w="234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079D2AD1" w:rsidR="00110F6B" w:rsidRPr="00902CF9" w:rsidRDefault="00110F6B" w:rsidP="00110F6B">
            <w:pPr>
              <w:jc w:val="center"/>
              <w:rPr>
                <w:rFonts w:cs="Arial"/>
                <w:b/>
                <w:bCs/>
                <w:spacing w:val="-3"/>
                <w:szCs w:val="20"/>
              </w:rPr>
            </w:pPr>
            <w:r w:rsidRPr="00BB6A93">
              <w:rPr>
                <w:rFonts w:cs="Arial"/>
                <w:b/>
                <w:bCs/>
                <w:spacing w:val="-3"/>
                <w:szCs w:val="20"/>
              </w:rPr>
              <w:t>Drug</w:t>
            </w:r>
          </w:p>
        </w:tc>
        <w:tc>
          <w:tcPr>
            <w:tcW w:w="153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5A76D524" w:rsidR="00110F6B" w:rsidRPr="00902CF9" w:rsidRDefault="00110F6B" w:rsidP="00110F6B">
            <w:pPr>
              <w:jc w:val="center"/>
              <w:rPr>
                <w:rFonts w:cs="Arial"/>
                <w:b/>
                <w:bCs/>
                <w:spacing w:val="-3"/>
                <w:szCs w:val="20"/>
              </w:rPr>
            </w:pPr>
            <w:r w:rsidRPr="00BB6A93">
              <w:rPr>
                <w:rFonts w:cs="Arial"/>
                <w:b/>
                <w:bCs/>
                <w:spacing w:val="-3"/>
                <w:szCs w:val="20"/>
              </w:rPr>
              <w:t>Participants</w:t>
            </w:r>
          </w:p>
        </w:tc>
        <w:tc>
          <w:tcPr>
            <w:tcW w:w="172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2352EADE" w:rsidR="00110F6B" w:rsidRPr="00902CF9" w:rsidRDefault="00110F6B" w:rsidP="00110F6B">
            <w:pPr>
              <w:jc w:val="center"/>
              <w:rPr>
                <w:rFonts w:cs="Arial"/>
                <w:b/>
                <w:bCs/>
                <w:spacing w:val="-3"/>
                <w:szCs w:val="20"/>
              </w:rPr>
            </w:pPr>
            <w:r w:rsidRPr="00902CF9">
              <w:rPr>
                <w:rFonts w:cs="Arial"/>
                <w:b/>
                <w:bCs/>
                <w:spacing w:val="-3"/>
                <w:szCs w:val="20"/>
              </w:rPr>
              <w:t>Claims</w:t>
            </w:r>
          </w:p>
        </w:tc>
        <w:tc>
          <w:tcPr>
            <w:tcW w:w="178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58EBB2B7" w:rsidR="00110F6B" w:rsidRPr="00902CF9" w:rsidRDefault="00110F6B" w:rsidP="00110F6B">
            <w:pPr>
              <w:jc w:val="center"/>
              <w:rPr>
                <w:rFonts w:cs="Arial"/>
                <w:b/>
                <w:bCs/>
                <w:spacing w:val="-3"/>
                <w:szCs w:val="20"/>
              </w:rPr>
            </w:pPr>
            <w:r w:rsidRPr="00902CF9">
              <w:rPr>
                <w:rFonts w:cs="Arial"/>
                <w:b/>
                <w:bCs/>
                <w:spacing w:val="-3"/>
                <w:szCs w:val="20"/>
              </w:rPr>
              <w:t>Spend</w:t>
            </w:r>
          </w:p>
        </w:tc>
        <w:tc>
          <w:tcPr>
            <w:tcW w:w="189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E7A9DFB" w14:textId="16045B0A" w:rsidR="00110F6B" w:rsidRPr="00902CF9" w:rsidRDefault="00110F6B" w:rsidP="00110F6B">
            <w:pPr>
              <w:jc w:val="center"/>
              <w:rPr>
                <w:rFonts w:cs="Arial"/>
                <w:b/>
                <w:spacing w:val="-3"/>
                <w:szCs w:val="20"/>
              </w:rPr>
            </w:pPr>
            <w:r w:rsidRPr="00902CF9">
              <w:rPr>
                <w:rFonts w:cs="Arial"/>
                <w:b/>
                <w:spacing w:val="-3"/>
                <w:szCs w:val="20"/>
              </w:rPr>
              <w:t>Avg Spend per Claim</w:t>
            </w:r>
          </w:p>
        </w:tc>
      </w:tr>
      <w:tr w:rsidR="00271867" w:rsidRPr="00902CF9" w14:paraId="29C2C6B5" w14:textId="2DD71B45" w:rsidTr="00271867">
        <w:trPr>
          <w:trHeight w:val="232"/>
          <w:jc w:val="center"/>
        </w:trPr>
        <w:tc>
          <w:tcPr>
            <w:tcW w:w="2340" w:type="dxa"/>
            <w:tcBorders>
              <w:top w:val="single" w:sz="4" w:space="0" w:color="auto"/>
              <w:left w:val="single" w:sz="4" w:space="0" w:color="auto"/>
              <w:bottom w:val="single" w:sz="4" w:space="0" w:color="auto"/>
              <w:right w:val="single" w:sz="4" w:space="0" w:color="auto"/>
            </w:tcBorders>
            <w:vAlign w:val="center"/>
          </w:tcPr>
          <w:p w14:paraId="4E48F17F" w14:textId="55B5893D" w:rsidR="00271867" w:rsidRPr="00902CF9" w:rsidRDefault="00271867" w:rsidP="00271867">
            <w:pPr>
              <w:rPr>
                <w:rFonts w:cs="Arial"/>
                <w:szCs w:val="20"/>
              </w:rPr>
            </w:pPr>
            <w:r w:rsidRPr="00BB6A93">
              <w:rPr>
                <w:rFonts w:cs="Arial"/>
                <w:spacing w:val="-3"/>
                <w:szCs w:val="20"/>
              </w:rPr>
              <w:t>BESREMI 500 MCG/ML SYRINGE</w:t>
            </w:r>
          </w:p>
        </w:tc>
        <w:tc>
          <w:tcPr>
            <w:tcW w:w="1530" w:type="dxa"/>
            <w:tcBorders>
              <w:top w:val="single" w:sz="4" w:space="0" w:color="auto"/>
              <w:left w:val="single" w:sz="4" w:space="0" w:color="auto"/>
              <w:bottom w:val="single" w:sz="4" w:space="0" w:color="auto"/>
              <w:right w:val="single" w:sz="4" w:space="0" w:color="auto"/>
            </w:tcBorders>
            <w:vAlign w:val="center"/>
          </w:tcPr>
          <w:p w14:paraId="5F6574F8" w14:textId="3A4EAAA6" w:rsidR="00271867" w:rsidRPr="00902CF9" w:rsidRDefault="00271867" w:rsidP="00271867">
            <w:pPr>
              <w:jc w:val="center"/>
              <w:rPr>
                <w:rFonts w:cs="Arial"/>
                <w:szCs w:val="20"/>
              </w:rPr>
            </w:pPr>
            <w:r>
              <w:rPr>
                <w:rFonts w:cs="Arial"/>
                <w:szCs w:val="20"/>
              </w:rPr>
              <w:t>4</w:t>
            </w:r>
          </w:p>
        </w:tc>
        <w:tc>
          <w:tcPr>
            <w:tcW w:w="1722" w:type="dxa"/>
            <w:tcBorders>
              <w:top w:val="single" w:sz="4" w:space="0" w:color="auto"/>
              <w:left w:val="single" w:sz="4" w:space="0" w:color="auto"/>
              <w:bottom w:val="single" w:sz="4" w:space="0" w:color="auto"/>
              <w:right w:val="single" w:sz="4" w:space="0" w:color="auto"/>
            </w:tcBorders>
            <w:vAlign w:val="center"/>
          </w:tcPr>
          <w:p w14:paraId="52453425" w14:textId="41E3FA20" w:rsidR="00271867" w:rsidRPr="00902CF9" w:rsidRDefault="00271867" w:rsidP="00271867">
            <w:pPr>
              <w:jc w:val="center"/>
              <w:rPr>
                <w:rFonts w:cs="Arial"/>
                <w:szCs w:val="20"/>
              </w:rPr>
            </w:pPr>
            <w:r>
              <w:rPr>
                <w:rFonts w:cs="Arial"/>
                <w:szCs w:val="20"/>
              </w:rPr>
              <w:t>27</w:t>
            </w:r>
          </w:p>
        </w:tc>
        <w:tc>
          <w:tcPr>
            <w:tcW w:w="1783" w:type="dxa"/>
            <w:tcBorders>
              <w:top w:val="single" w:sz="4" w:space="0" w:color="auto"/>
              <w:left w:val="single" w:sz="4" w:space="0" w:color="auto"/>
              <w:bottom w:val="single" w:sz="4" w:space="0" w:color="auto"/>
              <w:right w:val="single" w:sz="4" w:space="0" w:color="auto"/>
            </w:tcBorders>
            <w:vAlign w:val="center"/>
          </w:tcPr>
          <w:p w14:paraId="43EE586B" w14:textId="61FF7B82" w:rsidR="00271867" w:rsidRPr="00902CF9" w:rsidRDefault="00271867" w:rsidP="00271867">
            <w:pPr>
              <w:jc w:val="center"/>
              <w:rPr>
                <w:rFonts w:cs="Arial"/>
                <w:szCs w:val="20"/>
              </w:rPr>
            </w:pPr>
            <w:r>
              <w:rPr>
                <w:rFonts w:cs="Arial"/>
                <w:szCs w:val="20"/>
              </w:rPr>
              <w:t>$205,062.30</w:t>
            </w:r>
          </w:p>
        </w:tc>
        <w:tc>
          <w:tcPr>
            <w:tcW w:w="1890" w:type="dxa"/>
            <w:tcBorders>
              <w:top w:val="single" w:sz="4" w:space="0" w:color="auto"/>
              <w:left w:val="single" w:sz="4" w:space="0" w:color="auto"/>
              <w:bottom w:val="single" w:sz="4" w:space="0" w:color="auto"/>
              <w:right w:val="single" w:sz="4" w:space="0" w:color="auto"/>
            </w:tcBorders>
            <w:vAlign w:val="center"/>
          </w:tcPr>
          <w:p w14:paraId="303DE6BB" w14:textId="21321AEC" w:rsidR="00271867" w:rsidRPr="00902CF9" w:rsidRDefault="00271867" w:rsidP="00271867">
            <w:pPr>
              <w:jc w:val="center"/>
              <w:rPr>
                <w:rFonts w:cs="Arial"/>
                <w:szCs w:val="20"/>
              </w:rPr>
            </w:pPr>
            <w:r>
              <w:rPr>
                <w:rFonts w:cs="Arial"/>
                <w:szCs w:val="20"/>
              </w:rPr>
              <w:t>$7,594.90</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2D9FF30" w:rsidR="0097028A" w:rsidRPr="0079438F" w:rsidRDefault="0097028A" w:rsidP="00696E3A">
      <w:pPr>
        <w:rPr>
          <w:b/>
        </w:rPr>
      </w:pPr>
      <w:r w:rsidRPr="00696E3A">
        <w:rPr>
          <w:b/>
          <w:bCs/>
        </w:rPr>
        <w:t>Drug class for review:</w:t>
      </w:r>
      <w:r w:rsidRPr="00C02553">
        <w:t xml:space="preserve"> </w:t>
      </w:r>
      <w:r w:rsidR="00944A46" w:rsidRPr="0086180B">
        <w:rPr>
          <w:rFonts w:cs="Arial"/>
          <w:szCs w:val="20"/>
        </w:rPr>
        <w:t xml:space="preserve">Besremi </w:t>
      </w:r>
      <w:r w:rsidR="00944A46" w:rsidRPr="0086180B">
        <w:rPr>
          <w:rFonts w:cs="Arial"/>
          <w:spacing w:val="-3"/>
        </w:rPr>
        <w:t>(ropeginterferon alfa-2b-njft)</w:t>
      </w:r>
    </w:p>
    <w:p w14:paraId="26CFE8A0" w14:textId="00FB0373"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r w:rsidR="00732BA5">
        <w:rPr>
          <w:rFonts w:cs="Arial"/>
        </w:rPr>
        <w:t xml:space="preserve"> </w:t>
      </w:r>
      <w:r w:rsidR="00732BA5">
        <w:rPr>
          <w:rFonts w:cs="Arial"/>
          <w:szCs w:val="20"/>
        </w:rPr>
        <w:t>aged 18 years and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696E3A" w:rsidRDefault="00635DDB" w:rsidP="00635DDB">
      <w:pPr>
        <w:rPr>
          <w:b/>
          <w:bCs/>
        </w:rPr>
      </w:pPr>
      <w:r w:rsidRPr="00696E3A">
        <w:rPr>
          <w:b/>
          <w:bCs/>
        </w:rPr>
        <w:t>Initial Therapy:</w:t>
      </w:r>
    </w:p>
    <w:p w14:paraId="2869E0B2" w14:textId="77777777" w:rsidR="000C040B" w:rsidRDefault="000C040B" w:rsidP="000C040B">
      <w:pPr>
        <w:pStyle w:val="ListParagraph"/>
        <w:numPr>
          <w:ilvl w:val="0"/>
          <w:numId w:val="17"/>
        </w:numPr>
        <w:ind w:left="360"/>
        <w:rPr>
          <w:rFonts w:cs="Arial"/>
          <w:bCs/>
          <w:szCs w:val="20"/>
        </w:rPr>
      </w:pPr>
      <w:r w:rsidRPr="006D7596">
        <w:rPr>
          <w:rFonts w:cs="Arial"/>
          <w:bCs/>
          <w:szCs w:val="20"/>
        </w:rPr>
        <w:t xml:space="preserve">Must meet </w:t>
      </w:r>
      <w:proofErr w:type="gramStart"/>
      <w:r w:rsidRPr="006D7596">
        <w:rPr>
          <w:rFonts w:cs="Arial"/>
          <w:bCs/>
          <w:szCs w:val="20"/>
        </w:rPr>
        <w:t>all of</w:t>
      </w:r>
      <w:proofErr w:type="gramEnd"/>
      <w:r w:rsidRPr="006D7596">
        <w:rPr>
          <w:rFonts w:cs="Arial"/>
          <w:bCs/>
          <w:szCs w:val="20"/>
        </w:rPr>
        <w:t xml:space="preserve"> the following:</w:t>
      </w:r>
    </w:p>
    <w:p w14:paraId="00DDE2D6" w14:textId="77777777" w:rsidR="000C040B" w:rsidRDefault="000C040B" w:rsidP="000C040B">
      <w:pPr>
        <w:pStyle w:val="ListParagraph"/>
        <w:numPr>
          <w:ilvl w:val="1"/>
          <w:numId w:val="17"/>
        </w:numPr>
        <w:ind w:left="720"/>
        <w:rPr>
          <w:rFonts w:cs="Arial"/>
          <w:bCs/>
          <w:szCs w:val="20"/>
        </w:rPr>
      </w:pPr>
      <w:r w:rsidRPr="006D7596">
        <w:rPr>
          <w:rFonts w:cs="Arial"/>
          <w:bCs/>
          <w:szCs w:val="20"/>
        </w:rPr>
        <w:t>Documented diagnosis of polycythemia ver</w:t>
      </w:r>
      <w:r>
        <w:rPr>
          <w:rFonts w:cs="Arial"/>
          <w:bCs/>
          <w:szCs w:val="20"/>
        </w:rPr>
        <w:t>a;</w:t>
      </w:r>
    </w:p>
    <w:p w14:paraId="5B53DADF" w14:textId="77777777" w:rsidR="000C040B" w:rsidRDefault="000C040B" w:rsidP="000C040B">
      <w:pPr>
        <w:pStyle w:val="ListParagraph"/>
        <w:numPr>
          <w:ilvl w:val="1"/>
          <w:numId w:val="17"/>
        </w:numPr>
        <w:ind w:left="720"/>
        <w:rPr>
          <w:rFonts w:cs="Arial"/>
          <w:bCs/>
          <w:szCs w:val="20"/>
        </w:rPr>
      </w:pPr>
      <w:r w:rsidRPr="006D7596">
        <w:rPr>
          <w:rFonts w:cs="Arial"/>
          <w:bCs/>
          <w:szCs w:val="20"/>
        </w:rPr>
        <w:t>Prescribed by or in consultation with a hematologist, oncologist, or other specialist in the treated disease state</w:t>
      </w:r>
      <w:r>
        <w:rPr>
          <w:rFonts w:cs="Arial"/>
          <w:bCs/>
          <w:szCs w:val="20"/>
        </w:rPr>
        <w:t>;</w:t>
      </w:r>
    </w:p>
    <w:p w14:paraId="3B008085" w14:textId="77777777" w:rsidR="000C040B" w:rsidRDefault="000C040B" w:rsidP="000C040B">
      <w:pPr>
        <w:pStyle w:val="ListParagraph"/>
        <w:numPr>
          <w:ilvl w:val="1"/>
          <w:numId w:val="17"/>
        </w:numPr>
        <w:ind w:left="720"/>
        <w:rPr>
          <w:rFonts w:cs="Arial"/>
          <w:bCs/>
          <w:szCs w:val="20"/>
        </w:rPr>
      </w:pPr>
      <w:r w:rsidRPr="006D7596">
        <w:rPr>
          <w:rFonts w:cs="Arial"/>
          <w:bCs/>
          <w:szCs w:val="20"/>
        </w:rPr>
        <w:lastRenderedPageBreak/>
        <w:t>Participant aged ≥ 18 years</w:t>
      </w:r>
      <w:r>
        <w:rPr>
          <w:rFonts w:cs="Arial"/>
          <w:bCs/>
          <w:szCs w:val="20"/>
        </w:rPr>
        <w:t>;</w:t>
      </w:r>
    </w:p>
    <w:p w14:paraId="1D4F35A7" w14:textId="77777777" w:rsidR="000C040B" w:rsidRDefault="000C040B" w:rsidP="000C040B">
      <w:pPr>
        <w:pStyle w:val="ListParagraph"/>
        <w:numPr>
          <w:ilvl w:val="1"/>
          <w:numId w:val="17"/>
        </w:numPr>
        <w:ind w:left="720"/>
        <w:rPr>
          <w:rFonts w:cs="Arial"/>
          <w:bCs/>
          <w:szCs w:val="20"/>
        </w:rPr>
      </w:pPr>
      <w:r w:rsidRPr="00D03289">
        <w:rPr>
          <w:rFonts w:cs="Arial"/>
          <w:bCs/>
          <w:szCs w:val="20"/>
        </w:rPr>
        <w:t>Participant considered to be high-risk based on</w:t>
      </w:r>
      <w:r>
        <w:rPr>
          <w:rFonts w:cs="Arial"/>
          <w:bCs/>
          <w:szCs w:val="20"/>
        </w:rPr>
        <w:t xml:space="preserve"> one of the following</w:t>
      </w:r>
      <w:r w:rsidRPr="00D03289">
        <w:rPr>
          <w:rFonts w:cs="Arial"/>
          <w:bCs/>
          <w:szCs w:val="20"/>
        </w:rPr>
        <w:t>:</w:t>
      </w:r>
    </w:p>
    <w:p w14:paraId="02C9F827" w14:textId="77777777" w:rsidR="000C040B" w:rsidRPr="00D03289" w:rsidRDefault="000C040B" w:rsidP="000C040B">
      <w:pPr>
        <w:pStyle w:val="ListParagraph"/>
        <w:numPr>
          <w:ilvl w:val="2"/>
          <w:numId w:val="17"/>
        </w:numPr>
        <w:ind w:left="1080"/>
        <w:rPr>
          <w:rFonts w:cs="Arial"/>
          <w:bCs/>
          <w:szCs w:val="20"/>
        </w:rPr>
      </w:pPr>
      <w:r w:rsidRPr="00D03289">
        <w:rPr>
          <w:rFonts w:cs="Arial"/>
          <w:bCs/>
          <w:szCs w:val="20"/>
        </w:rPr>
        <w:t>Age &gt; 60 years</w:t>
      </w:r>
      <w:r>
        <w:rPr>
          <w:rFonts w:cs="Arial"/>
          <w:bCs/>
          <w:szCs w:val="20"/>
        </w:rPr>
        <w:t>;</w:t>
      </w:r>
      <w:r w:rsidRPr="00D03289">
        <w:rPr>
          <w:rFonts w:cs="Arial"/>
          <w:bCs/>
          <w:szCs w:val="20"/>
        </w:rPr>
        <w:t xml:space="preserve"> </w:t>
      </w:r>
      <w:r w:rsidRPr="00D03289">
        <w:rPr>
          <w:rFonts w:cs="Arial"/>
          <w:b/>
          <w:szCs w:val="20"/>
        </w:rPr>
        <w:t>O</w:t>
      </w:r>
      <w:r>
        <w:rPr>
          <w:rFonts w:cs="Arial"/>
          <w:b/>
          <w:szCs w:val="20"/>
        </w:rPr>
        <w:t>R</w:t>
      </w:r>
    </w:p>
    <w:p w14:paraId="1941914A" w14:textId="77777777" w:rsidR="000C040B" w:rsidRDefault="000C040B" w:rsidP="000C040B">
      <w:pPr>
        <w:pStyle w:val="ListParagraph"/>
        <w:numPr>
          <w:ilvl w:val="2"/>
          <w:numId w:val="17"/>
        </w:numPr>
        <w:ind w:left="1080"/>
        <w:rPr>
          <w:rFonts w:cs="Arial"/>
          <w:bCs/>
          <w:szCs w:val="20"/>
        </w:rPr>
      </w:pPr>
      <w:r w:rsidRPr="00D03289">
        <w:rPr>
          <w:rFonts w:cs="Arial"/>
          <w:bCs/>
          <w:szCs w:val="20"/>
        </w:rPr>
        <w:t>Age ≤ 60 years and thrombosis history</w:t>
      </w:r>
      <w:r>
        <w:rPr>
          <w:rFonts w:cs="Arial"/>
          <w:bCs/>
          <w:szCs w:val="20"/>
        </w:rPr>
        <w:t>;</w:t>
      </w:r>
    </w:p>
    <w:p w14:paraId="036F824E" w14:textId="77777777" w:rsidR="000C040B" w:rsidRPr="00D03289" w:rsidRDefault="000C040B" w:rsidP="000C040B">
      <w:pPr>
        <w:pStyle w:val="ListParagraph"/>
        <w:numPr>
          <w:ilvl w:val="1"/>
          <w:numId w:val="17"/>
        </w:numPr>
        <w:ind w:left="720"/>
        <w:rPr>
          <w:rFonts w:cs="Arial"/>
          <w:bCs/>
          <w:szCs w:val="20"/>
        </w:rPr>
      </w:pPr>
      <w:r w:rsidRPr="00D03289">
        <w:rPr>
          <w:rFonts w:cs="Arial"/>
          <w:bCs/>
          <w:szCs w:val="20"/>
        </w:rPr>
        <w:t>Participant history demonstrates therapeutic trial of peginterferon alfa-2a (defined as 84/112 days)</w:t>
      </w:r>
      <w:r>
        <w:rPr>
          <w:rFonts w:cs="Arial"/>
          <w:bCs/>
          <w:szCs w:val="20"/>
        </w:rPr>
        <w:t xml:space="preserve">; </w:t>
      </w:r>
      <w:r w:rsidRPr="00D03289">
        <w:rPr>
          <w:rFonts w:cs="Arial"/>
          <w:b/>
          <w:szCs w:val="20"/>
        </w:rPr>
        <w:t>AND</w:t>
      </w:r>
    </w:p>
    <w:p w14:paraId="67E69A37" w14:textId="77777777" w:rsidR="000C040B" w:rsidRDefault="000C040B" w:rsidP="000C040B">
      <w:pPr>
        <w:pStyle w:val="ListParagraph"/>
        <w:numPr>
          <w:ilvl w:val="1"/>
          <w:numId w:val="17"/>
        </w:numPr>
        <w:ind w:left="720"/>
        <w:rPr>
          <w:rFonts w:cs="Arial"/>
          <w:bCs/>
          <w:szCs w:val="20"/>
        </w:rPr>
      </w:pPr>
      <w:r w:rsidRPr="00D03289">
        <w:rPr>
          <w:rFonts w:cs="Arial"/>
          <w:bCs/>
          <w:szCs w:val="20"/>
        </w:rPr>
        <w:t>Participant has resistance or intolerance to hydroxyurea therapy defined by</w:t>
      </w:r>
      <w:r>
        <w:rPr>
          <w:rFonts w:cs="Arial"/>
          <w:bCs/>
          <w:szCs w:val="20"/>
        </w:rPr>
        <w:t xml:space="preserve"> one of the following</w:t>
      </w:r>
      <w:r w:rsidRPr="00D03289">
        <w:rPr>
          <w:rFonts w:cs="Arial"/>
          <w:bCs/>
          <w:szCs w:val="20"/>
        </w:rPr>
        <w:t>:</w:t>
      </w:r>
    </w:p>
    <w:p w14:paraId="14B70C72" w14:textId="77777777" w:rsidR="000C040B" w:rsidRPr="00D03289" w:rsidRDefault="000C040B" w:rsidP="000C040B">
      <w:pPr>
        <w:pStyle w:val="ListParagraph"/>
        <w:numPr>
          <w:ilvl w:val="2"/>
          <w:numId w:val="17"/>
        </w:numPr>
        <w:ind w:left="1080"/>
        <w:rPr>
          <w:rFonts w:cs="Arial"/>
          <w:bCs/>
          <w:szCs w:val="20"/>
        </w:rPr>
      </w:pPr>
      <w:r w:rsidRPr="00D03289">
        <w:rPr>
          <w:rFonts w:cs="Arial"/>
          <w:bCs/>
          <w:szCs w:val="20"/>
        </w:rPr>
        <w:t>Need for phlebotomy to keep hematocrit &lt; 45% after 3 months of at least 2 g/day of hydroxyurea</w:t>
      </w:r>
      <w:r>
        <w:rPr>
          <w:rFonts w:cs="Arial"/>
          <w:bCs/>
          <w:szCs w:val="20"/>
        </w:rPr>
        <w:t>;</w:t>
      </w:r>
    </w:p>
    <w:p w14:paraId="4D652A6F" w14:textId="77777777" w:rsidR="000C040B" w:rsidRPr="00D03289" w:rsidRDefault="000C040B" w:rsidP="000C040B">
      <w:pPr>
        <w:pStyle w:val="ListParagraph"/>
        <w:numPr>
          <w:ilvl w:val="2"/>
          <w:numId w:val="17"/>
        </w:numPr>
        <w:ind w:left="1080"/>
        <w:rPr>
          <w:rFonts w:cs="Arial"/>
          <w:bCs/>
          <w:szCs w:val="20"/>
        </w:rPr>
      </w:pPr>
      <w:r w:rsidRPr="00D03289">
        <w:rPr>
          <w:rFonts w:cs="Arial"/>
          <w:bCs/>
          <w:szCs w:val="20"/>
        </w:rPr>
        <w:t>Platelet count &gt; 400 x 10</w:t>
      </w:r>
      <w:r w:rsidRPr="00D03289">
        <w:rPr>
          <w:rFonts w:cs="Arial"/>
          <w:bCs/>
          <w:szCs w:val="20"/>
          <w:vertAlign w:val="superscript"/>
        </w:rPr>
        <w:t>9</w:t>
      </w:r>
      <w:r w:rsidRPr="00D03289">
        <w:rPr>
          <w:rFonts w:cs="Arial"/>
          <w:bCs/>
          <w:szCs w:val="20"/>
        </w:rPr>
        <w:t>/L and white blood cell count &gt; 10 x 10</w:t>
      </w:r>
      <w:r w:rsidRPr="00D03289">
        <w:rPr>
          <w:rFonts w:cs="Arial"/>
          <w:bCs/>
          <w:szCs w:val="20"/>
          <w:vertAlign w:val="superscript"/>
        </w:rPr>
        <w:t>9</w:t>
      </w:r>
      <w:r w:rsidRPr="00D03289">
        <w:rPr>
          <w:rFonts w:cs="Arial"/>
          <w:bCs/>
          <w:szCs w:val="20"/>
        </w:rPr>
        <w:t>/L after 3 months of at least 2 g/day of hydroxyurea</w:t>
      </w:r>
      <w:r>
        <w:rPr>
          <w:rFonts w:cs="Arial"/>
          <w:bCs/>
          <w:szCs w:val="20"/>
        </w:rPr>
        <w:t>;</w:t>
      </w:r>
    </w:p>
    <w:p w14:paraId="3D19C6EE" w14:textId="77777777" w:rsidR="000C040B" w:rsidRPr="00D03289" w:rsidRDefault="000C040B" w:rsidP="000C040B">
      <w:pPr>
        <w:pStyle w:val="ListParagraph"/>
        <w:numPr>
          <w:ilvl w:val="2"/>
          <w:numId w:val="17"/>
        </w:numPr>
        <w:ind w:left="1080"/>
        <w:rPr>
          <w:rFonts w:cs="Arial"/>
          <w:bCs/>
          <w:szCs w:val="20"/>
        </w:rPr>
      </w:pPr>
      <w:r w:rsidRPr="00D03289">
        <w:rPr>
          <w:rFonts w:cs="Arial"/>
          <w:bCs/>
          <w:szCs w:val="20"/>
        </w:rPr>
        <w:t>Reduction of splenomegaly &lt; 50% after 3 months of at least 2 g/day of hydroxyurea</w:t>
      </w:r>
      <w:r>
        <w:rPr>
          <w:rFonts w:cs="Arial"/>
          <w:bCs/>
          <w:szCs w:val="20"/>
        </w:rPr>
        <w:t>;</w:t>
      </w:r>
    </w:p>
    <w:p w14:paraId="20F173CD" w14:textId="77777777" w:rsidR="000C040B" w:rsidRPr="00D03289" w:rsidRDefault="000C040B" w:rsidP="000C040B">
      <w:pPr>
        <w:pStyle w:val="ListParagraph"/>
        <w:numPr>
          <w:ilvl w:val="2"/>
          <w:numId w:val="17"/>
        </w:numPr>
        <w:ind w:left="1080"/>
        <w:rPr>
          <w:rFonts w:cs="Arial"/>
          <w:bCs/>
          <w:szCs w:val="20"/>
        </w:rPr>
      </w:pPr>
      <w:r w:rsidRPr="00D03289">
        <w:rPr>
          <w:rFonts w:cs="Arial"/>
          <w:bCs/>
          <w:szCs w:val="20"/>
        </w:rPr>
        <w:t>Absolute neutrophil count &lt; 1.0 x 10</w:t>
      </w:r>
      <w:r w:rsidRPr="00D03289">
        <w:rPr>
          <w:rFonts w:cs="Arial"/>
          <w:bCs/>
          <w:szCs w:val="20"/>
          <w:vertAlign w:val="superscript"/>
        </w:rPr>
        <w:t>9</w:t>
      </w:r>
      <w:r w:rsidRPr="00D03289">
        <w:rPr>
          <w:rFonts w:cs="Arial"/>
          <w:bCs/>
          <w:szCs w:val="20"/>
        </w:rPr>
        <w:t>/L or platelet count &lt; 100 x 10</w:t>
      </w:r>
      <w:r w:rsidRPr="00D03289">
        <w:rPr>
          <w:rFonts w:cs="Arial"/>
          <w:bCs/>
          <w:szCs w:val="20"/>
          <w:vertAlign w:val="superscript"/>
        </w:rPr>
        <w:t>9</w:t>
      </w:r>
      <w:r w:rsidRPr="00D03289">
        <w:rPr>
          <w:rFonts w:cs="Arial"/>
          <w:bCs/>
          <w:szCs w:val="20"/>
        </w:rPr>
        <w:t>/L or hemoglobin &lt; 10 g/dL</w:t>
      </w:r>
      <w:r>
        <w:rPr>
          <w:rFonts w:cs="Arial"/>
          <w:bCs/>
          <w:szCs w:val="20"/>
        </w:rPr>
        <w:t xml:space="preserve">; </w:t>
      </w:r>
      <w:r w:rsidRPr="005612F3">
        <w:rPr>
          <w:rFonts w:cs="Arial"/>
          <w:b/>
          <w:szCs w:val="20"/>
        </w:rPr>
        <w:t>OR</w:t>
      </w:r>
    </w:p>
    <w:p w14:paraId="69F4430E" w14:textId="77777777" w:rsidR="000C040B" w:rsidRPr="00D03289" w:rsidRDefault="000C040B" w:rsidP="000C040B">
      <w:pPr>
        <w:pStyle w:val="ListParagraph"/>
        <w:numPr>
          <w:ilvl w:val="2"/>
          <w:numId w:val="17"/>
        </w:numPr>
        <w:ind w:left="1080"/>
        <w:rPr>
          <w:rFonts w:cs="Arial"/>
          <w:bCs/>
          <w:szCs w:val="20"/>
        </w:rPr>
      </w:pPr>
      <w:r w:rsidRPr="00D03289">
        <w:rPr>
          <w:rFonts w:eastAsia="Arial" w:cs="Arial"/>
          <w:szCs w:val="20"/>
        </w:rPr>
        <w:t>Documentation of previous therapeutic trial (at least 3 months of therapy) or concurrent treatment, intolerance, insufficient response, or contraindication with hydroxyurea.</w:t>
      </w:r>
    </w:p>
    <w:p w14:paraId="5ABD6A25" w14:textId="77777777" w:rsidR="000C040B" w:rsidRPr="00007BDB" w:rsidRDefault="000C040B" w:rsidP="000C040B">
      <w:pPr>
        <w:pStyle w:val="ListParagraph"/>
        <w:numPr>
          <w:ilvl w:val="1"/>
          <w:numId w:val="16"/>
        </w:numPr>
        <w:rPr>
          <w:rFonts w:cs="Arial"/>
          <w:bCs/>
          <w:szCs w:val="20"/>
        </w:rPr>
      </w:pPr>
      <w:r>
        <w:rPr>
          <w:rFonts w:cs="Arial"/>
          <w:bCs/>
          <w:szCs w:val="20"/>
        </w:rPr>
        <w:t>Initial approval period: 6 months</w:t>
      </w:r>
    </w:p>
    <w:p w14:paraId="1B509DCA" w14:textId="77777777" w:rsidR="00635DDB" w:rsidRPr="002C2C41" w:rsidRDefault="00635DDB" w:rsidP="00635DDB">
      <w:pPr>
        <w:rPr>
          <w:rFonts w:cs="Arial"/>
          <w:szCs w:val="20"/>
        </w:rPr>
      </w:pPr>
    </w:p>
    <w:p w14:paraId="7EC2017B" w14:textId="77777777" w:rsidR="00635DDB" w:rsidRPr="00696E3A" w:rsidRDefault="00635DDB" w:rsidP="00635DDB">
      <w:pPr>
        <w:rPr>
          <w:b/>
          <w:bCs/>
        </w:rPr>
      </w:pPr>
      <w:r w:rsidRPr="00696E3A">
        <w:rPr>
          <w:b/>
          <w:bCs/>
        </w:rPr>
        <w:t>Continuation of Therapy:</w:t>
      </w:r>
    </w:p>
    <w:p w14:paraId="59C3A1AB" w14:textId="77777777" w:rsidR="00855768" w:rsidRDefault="00855768" w:rsidP="00855768">
      <w:pPr>
        <w:pStyle w:val="ListParagraph"/>
        <w:numPr>
          <w:ilvl w:val="0"/>
          <w:numId w:val="16"/>
        </w:numPr>
        <w:rPr>
          <w:rFonts w:cs="Arial"/>
          <w:bCs/>
          <w:szCs w:val="20"/>
        </w:rPr>
      </w:pPr>
      <w:r>
        <w:rPr>
          <w:rFonts w:cs="Arial"/>
          <w:bCs/>
          <w:szCs w:val="20"/>
        </w:rPr>
        <w:t>Participant demonstrates compliance to prescribed therapeutic regimen (defined as 84/112 days)</w:t>
      </w:r>
    </w:p>
    <w:p w14:paraId="411E0BA4" w14:textId="77777777" w:rsidR="00855768" w:rsidRPr="00972CBF" w:rsidRDefault="00855768" w:rsidP="00855768">
      <w:pPr>
        <w:pStyle w:val="ListParagraph"/>
        <w:numPr>
          <w:ilvl w:val="0"/>
          <w:numId w:val="16"/>
        </w:numPr>
        <w:rPr>
          <w:rFonts w:cs="Arial"/>
          <w:bCs/>
          <w:szCs w:val="20"/>
        </w:rPr>
      </w:pPr>
      <w:r>
        <w:rPr>
          <w:rFonts w:cs="Arial"/>
          <w:bCs/>
          <w:szCs w:val="20"/>
        </w:rPr>
        <w:t>Continuation approval period: 1 year</w:t>
      </w:r>
    </w:p>
    <w:p w14:paraId="0B0C0D72" w14:textId="77777777" w:rsidR="005328B2" w:rsidRPr="002C2C41" w:rsidRDefault="005328B2" w:rsidP="0064149A">
      <w:pPr>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0F8C0E6C" w14:textId="77777777" w:rsidR="00336713" w:rsidRDefault="00336713" w:rsidP="00336713">
      <w:pPr>
        <w:pStyle w:val="ListParagraph"/>
        <w:numPr>
          <w:ilvl w:val="0"/>
          <w:numId w:val="18"/>
        </w:numPr>
        <w:rPr>
          <w:rFonts w:cs="Arial"/>
          <w:noProof/>
          <w:szCs w:val="20"/>
        </w:rPr>
      </w:pPr>
      <w:bookmarkStart w:id="1" w:name="_Hlk47597237"/>
      <w:r>
        <w:rPr>
          <w:rFonts w:cs="Arial"/>
          <w:noProof/>
          <w:szCs w:val="20"/>
        </w:rPr>
        <w:t>Therapy will deny with presence of one of the following:</w:t>
      </w:r>
    </w:p>
    <w:p w14:paraId="0B11F318" w14:textId="77777777" w:rsidR="00336713" w:rsidRDefault="00336713" w:rsidP="00336713">
      <w:pPr>
        <w:pStyle w:val="ListParagraph"/>
        <w:numPr>
          <w:ilvl w:val="1"/>
          <w:numId w:val="18"/>
        </w:numPr>
        <w:rPr>
          <w:rFonts w:cs="Arial"/>
          <w:noProof/>
          <w:szCs w:val="20"/>
        </w:rPr>
      </w:pPr>
      <w:r>
        <w:rPr>
          <w:rFonts w:cs="Arial"/>
          <w:noProof/>
          <w:szCs w:val="20"/>
        </w:rPr>
        <w:t>Any approval criteria are not met;</w:t>
      </w:r>
    </w:p>
    <w:p w14:paraId="4AA7997D" w14:textId="77777777" w:rsidR="00336713" w:rsidRDefault="00336713" w:rsidP="00336713">
      <w:pPr>
        <w:pStyle w:val="ListParagraph"/>
        <w:numPr>
          <w:ilvl w:val="1"/>
          <w:numId w:val="18"/>
        </w:numPr>
        <w:rPr>
          <w:rFonts w:cs="Arial"/>
          <w:noProof/>
          <w:szCs w:val="20"/>
        </w:rPr>
      </w:pPr>
      <w:r>
        <w:rPr>
          <w:rFonts w:cs="Arial"/>
          <w:noProof/>
          <w:szCs w:val="20"/>
        </w:rPr>
        <w:t>Participant has existence of, or history of severe psychiatric disorders, particularly severe depression, suicidal ideation, or suicide attempt;</w:t>
      </w:r>
    </w:p>
    <w:p w14:paraId="1AB82BFA" w14:textId="77777777" w:rsidR="00336713" w:rsidRPr="00B00750" w:rsidRDefault="00336713" w:rsidP="00336713">
      <w:pPr>
        <w:pStyle w:val="ListParagraph"/>
        <w:numPr>
          <w:ilvl w:val="1"/>
          <w:numId w:val="18"/>
        </w:numPr>
        <w:rPr>
          <w:rFonts w:cs="Arial"/>
          <w:noProof/>
          <w:szCs w:val="20"/>
        </w:rPr>
      </w:pPr>
      <w:r w:rsidRPr="00B00750">
        <w:rPr>
          <w:rFonts w:cs="Arial"/>
          <w:noProof/>
          <w:szCs w:val="20"/>
        </w:rPr>
        <w:t>Participant has history or presence of an active serious or untreated autoimmune disease;</w:t>
      </w:r>
    </w:p>
    <w:p w14:paraId="267BC7F3" w14:textId="77777777" w:rsidR="00336713" w:rsidRPr="00B00750" w:rsidRDefault="00336713" w:rsidP="00336713">
      <w:pPr>
        <w:pStyle w:val="ListParagraph"/>
        <w:numPr>
          <w:ilvl w:val="1"/>
          <w:numId w:val="18"/>
        </w:numPr>
        <w:rPr>
          <w:rFonts w:cs="Arial"/>
          <w:noProof/>
          <w:szCs w:val="20"/>
        </w:rPr>
      </w:pPr>
      <w:r w:rsidRPr="00B00750">
        <w:rPr>
          <w:rFonts w:cs="Arial"/>
          <w:noProof/>
          <w:szCs w:val="20"/>
        </w:rPr>
        <w:t>Participant is an immunosuppressed transplant recipient;</w:t>
      </w:r>
    </w:p>
    <w:p w14:paraId="75B27C9B" w14:textId="77777777" w:rsidR="00336713" w:rsidRDefault="00336713" w:rsidP="00336713">
      <w:pPr>
        <w:pStyle w:val="ListParagraph"/>
        <w:numPr>
          <w:ilvl w:val="1"/>
          <w:numId w:val="18"/>
        </w:numPr>
        <w:rPr>
          <w:rFonts w:cs="Arial"/>
          <w:noProof/>
          <w:szCs w:val="20"/>
        </w:rPr>
      </w:pPr>
      <w:r>
        <w:rPr>
          <w:rFonts w:cs="Arial"/>
          <w:noProof/>
          <w:szCs w:val="20"/>
        </w:rPr>
        <w:t>Participant has history of moderate to severe hepatic impairment (Child-Pugh B and C);</w:t>
      </w:r>
    </w:p>
    <w:p w14:paraId="5B634383" w14:textId="77777777" w:rsidR="00336713" w:rsidRDefault="00336713" w:rsidP="00336713">
      <w:pPr>
        <w:pStyle w:val="ListParagraph"/>
        <w:numPr>
          <w:ilvl w:val="1"/>
          <w:numId w:val="18"/>
        </w:numPr>
        <w:rPr>
          <w:rFonts w:cs="Arial"/>
          <w:noProof/>
          <w:szCs w:val="20"/>
        </w:rPr>
      </w:pPr>
      <w:r>
        <w:rPr>
          <w:rFonts w:cs="Arial"/>
          <w:noProof/>
          <w:szCs w:val="20"/>
        </w:rPr>
        <w:t xml:space="preserve">Participant has history of Chronic Kidney Disease Stage 4 or 5 or End-Stage Renal Disease; </w:t>
      </w:r>
      <w:r w:rsidRPr="00354C4F">
        <w:rPr>
          <w:rFonts w:cs="Arial"/>
          <w:b/>
          <w:bCs/>
          <w:noProof/>
          <w:szCs w:val="20"/>
        </w:rPr>
        <w:t>OR</w:t>
      </w:r>
    </w:p>
    <w:p w14:paraId="0A21E683" w14:textId="77777777" w:rsidR="00336713" w:rsidRDefault="00336713" w:rsidP="00336713">
      <w:pPr>
        <w:pStyle w:val="ListParagraph"/>
        <w:numPr>
          <w:ilvl w:val="1"/>
          <w:numId w:val="18"/>
        </w:numPr>
        <w:rPr>
          <w:rFonts w:cs="Arial"/>
          <w:noProof/>
          <w:szCs w:val="20"/>
        </w:rPr>
      </w:pPr>
      <w:r>
        <w:rPr>
          <w:rFonts w:cs="Arial"/>
          <w:noProof/>
          <w:szCs w:val="20"/>
        </w:rPr>
        <w:t>Participant is currently pregnant.</w:t>
      </w:r>
    </w:p>
    <w:p w14:paraId="7A6DC8DC" w14:textId="77777777" w:rsidR="00336713" w:rsidRPr="00DB083D" w:rsidRDefault="00336713" w:rsidP="00336713">
      <w:pPr>
        <w:pStyle w:val="ListParagraph"/>
        <w:numPr>
          <w:ilvl w:val="0"/>
          <w:numId w:val="0"/>
        </w:numPr>
        <w:ind w:left="630"/>
        <w:rPr>
          <w:rFonts w:cs="Arial"/>
          <w:noProof/>
          <w:szCs w:val="20"/>
        </w:rPr>
      </w:pPr>
    </w:p>
    <w:p w14:paraId="0BD95161" w14:textId="77777777" w:rsidR="005F6104" w:rsidRPr="00C02553" w:rsidRDefault="005F6104" w:rsidP="005F6104">
      <w:pPr>
        <w:pStyle w:val="Heading1"/>
        <w:rPr>
          <w:lang w:val="en-US"/>
        </w:rPr>
      </w:pPr>
      <w:bookmarkStart w:id="2" w:name="_Hlk34120952"/>
      <w:bookmarkEnd w:id="1"/>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0B092DF7" w:rsidR="00343D6B" w:rsidRPr="00C02553" w:rsidRDefault="00343D6B" w:rsidP="00696E3A">
      <w:r w:rsidRPr="00696E3A">
        <w:rPr>
          <w:b/>
          <w:bCs/>
        </w:rPr>
        <w:t>Default Approval Period:</w:t>
      </w:r>
      <w:r w:rsidR="00973BD6">
        <w:t xml:space="preserve"> </w:t>
      </w:r>
      <w:r w:rsidR="00336713">
        <w:t>6 months</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025ED131" w14:textId="77777777" w:rsidR="001A0FA2" w:rsidRDefault="001A0FA2" w:rsidP="001A0FA2">
      <w:pPr>
        <w:pStyle w:val="ListParagraph"/>
        <w:numPr>
          <w:ilvl w:val="0"/>
          <w:numId w:val="18"/>
        </w:numPr>
        <w:rPr>
          <w:rFonts w:cs="Arial"/>
          <w:bCs/>
          <w:sz w:val="18"/>
          <w:szCs w:val="18"/>
        </w:rPr>
      </w:pPr>
      <w:r w:rsidRPr="00196355">
        <w:rPr>
          <w:rFonts w:cs="Arial"/>
          <w:bCs/>
          <w:sz w:val="18"/>
          <w:szCs w:val="18"/>
        </w:rPr>
        <w:t>Besremi</w:t>
      </w:r>
      <w:r w:rsidRPr="00196355">
        <w:rPr>
          <w:rFonts w:cs="Arial"/>
          <w:bCs/>
          <w:sz w:val="18"/>
          <w:szCs w:val="18"/>
          <w:vertAlign w:val="superscript"/>
        </w:rPr>
        <w:t>®</w:t>
      </w:r>
      <w:r w:rsidRPr="00196355">
        <w:rPr>
          <w:rFonts w:cs="Arial"/>
          <w:bCs/>
          <w:sz w:val="18"/>
          <w:szCs w:val="18"/>
        </w:rPr>
        <w:t xml:space="preserve"> (ropeginterferon alfa-2b-njft) [package insert]. Burlington, MA: PharmaEssentia USA Corporation; </w:t>
      </w:r>
      <w:r>
        <w:rPr>
          <w:rFonts w:cs="Arial"/>
          <w:bCs/>
          <w:sz w:val="18"/>
          <w:szCs w:val="18"/>
        </w:rPr>
        <w:t>April 2024.</w:t>
      </w:r>
    </w:p>
    <w:p w14:paraId="0A8BEFBD" w14:textId="77777777" w:rsidR="001A0FA2" w:rsidRPr="00196355" w:rsidRDefault="001A0FA2" w:rsidP="001A0FA2">
      <w:pPr>
        <w:pStyle w:val="ListParagraph"/>
        <w:numPr>
          <w:ilvl w:val="0"/>
          <w:numId w:val="18"/>
        </w:numPr>
        <w:rPr>
          <w:rFonts w:cs="Arial"/>
          <w:bCs/>
          <w:sz w:val="18"/>
          <w:szCs w:val="18"/>
        </w:rPr>
      </w:pPr>
      <w:r w:rsidRPr="00196355">
        <w:rPr>
          <w:rFonts w:cs="Arial"/>
          <w:bCs/>
          <w:sz w:val="18"/>
          <w:szCs w:val="18"/>
        </w:rPr>
        <w:t xml:space="preserve">Tefferi, A. Prognosis and treatment of polycythemia vera. UpToDate. </w:t>
      </w:r>
      <w:hyperlink r:id="rId11" w:anchor="H1443962324" w:history="1">
        <w:r w:rsidRPr="00196355">
          <w:rPr>
            <w:rStyle w:val="Hyperlink"/>
            <w:rFonts w:cs="Arial"/>
            <w:sz w:val="18"/>
            <w:szCs w:val="18"/>
          </w:rPr>
          <w:t>Prognosis and treatment of polycythemia vera - UpToDate</w:t>
        </w:r>
      </w:hyperlink>
      <w:r w:rsidRPr="00196355">
        <w:rPr>
          <w:rFonts w:cs="Arial"/>
          <w:sz w:val="18"/>
          <w:szCs w:val="18"/>
        </w:rPr>
        <w:t xml:space="preserve">. Accessed </w:t>
      </w:r>
      <w:r>
        <w:rPr>
          <w:rFonts w:cs="Arial"/>
          <w:sz w:val="18"/>
          <w:szCs w:val="18"/>
        </w:rPr>
        <w:t>April 10, 2024.</w:t>
      </w:r>
      <w:r w:rsidRPr="00196355">
        <w:rPr>
          <w:rFonts w:cs="Arial"/>
          <w:sz w:val="18"/>
          <w:szCs w:val="18"/>
        </w:rPr>
        <w:t xml:space="preserve"> </w:t>
      </w:r>
    </w:p>
    <w:p w14:paraId="3578DC36" w14:textId="77777777" w:rsidR="001A0FA2" w:rsidRPr="00196355" w:rsidRDefault="001A0FA2" w:rsidP="001A0FA2">
      <w:pPr>
        <w:pStyle w:val="ListParagraph"/>
        <w:numPr>
          <w:ilvl w:val="0"/>
          <w:numId w:val="18"/>
        </w:numPr>
        <w:rPr>
          <w:rFonts w:cs="Arial"/>
          <w:bCs/>
          <w:sz w:val="18"/>
          <w:szCs w:val="18"/>
        </w:rPr>
      </w:pPr>
      <w:r w:rsidRPr="00196355">
        <w:rPr>
          <w:rFonts w:cs="Arial"/>
          <w:sz w:val="18"/>
          <w:szCs w:val="18"/>
        </w:rPr>
        <w:t xml:space="preserve">Tefferi, A. Clinical manifestations and diagnosis of polycythemia vera. UpToDate. </w:t>
      </w:r>
      <w:hyperlink r:id="rId12" w:history="1">
        <w:r w:rsidRPr="00196355">
          <w:rPr>
            <w:rStyle w:val="Hyperlink"/>
            <w:rFonts w:cs="Arial"/>
            <w:sz w:val="18"/>
            <w:szCs w:val="18"/>
          </w:rPr>
          <w:t>Clinical manifestations and diagnosis of polycythemia vera - UpToDate</w:t>
        </w:r>
      </w:hyperlink>
      <w:r w:rsidRPr="00196355">
        <w:rPr>
          <w:rFonts w:cs="Arial"/>
          <w:sz w:val="18"/>
          <w:szCs w:val="18"/>
        </w:rPr>
        <w:t xml:space="preserve">. Accessed </w:t>
      </w:r>
      <w:r>
        <w:rPr>
          <w:rFonts w:cs="Arial"/>
          <w:sz w:val="18"/>
          <w:szCs w:val="18"/>
        </w:rPr>
        <w:t>April 10, 2024</w:t>
      </w:r>
      <w:r w:rsidRPr="00196355">
        <w:rPr>
          <w:rFonts w:cs="Arial"/>
          <w:sz w:val="18"/>
          <w:szCs w:val="18"/>
        </w:rPr>
        <w:t xml:space="preserve"> </w:t>
      </w:r>
    </w:p>
    <w:p w14:paraId="78A4D713" w14:textId="77777777" w:rsidR="001A0FA2" w:rsidRPr="00196355" w:rsidRDefault="001A0FA2" w:rsidP="001A0FA2">
      <w:pPr>
        <w:pStyle w:val="ListParagraph"/>
        <w:numPr>
          <w:ilvl w:val="0"/>
          <w:numId w:val="18"/>
        </w:numPr>
        <w:rPr>
          <w:rFonts w:cs="Arial"/>
          <w:bCs/>
          <w:sz w:val="18"/>
          <w:szCs w:val="18"/>
        </w:rPr>
      </w:pPr>
      <w:r w:rsidRPr="00196355">
        <w:rPr>
          <w:rFonts w:cs="Arial"/>
          <w:sz w:val="18"/>
          <w:szCs w:val="18"/>
          <w:shd w:val="clear" w:color="auto" w:fill="FFFFFF"/>
        </w:rPr>
        <w:t>Mesa R. A. (2018). Refining the management of polycythemia vera. </w:t>
      </w:r>
      <w:r w:rsidRPr="00196355">
        <w:rPr>
          <w:rFonts w:cs="Arial"/>
          <w:i/>
          <w:iCs/>
          <w:sz w:val="18"/>
          <w:szCs w:val="18"/>
          <w:shd w:val="clear" w:color="auto" w:fill="FFFFFF"/>
        </w:rPr>
        <w:t>Clinical advances in hematology &amp; oncology: H&amp;O</w:t>
      </w:r>
      <w:r w:rsidRPr="00196355">
        <w:rPr>
          <w:rFonts w:cs="Arial"/>
          <w:sz w:val="18"/>
          <w:szCs w:val="18"/>
          <w:shd w:val="clear" w:color="auto" w:fill="FFFFFF"/>
        </w:rPr>
        <w:t>, </w:t>
      </w:r>
      <w:r w:rsidRPr="00196355">
        <w:rPr>
          <w:rFonts w:cs="Arial"/>
          <w:i/>
          <w:iCs/>
          <w:sz w:val="18"/>
          <w:szCs w:val="18"/>
          <w:shd w:val="clear" w:color="auto" w:fill="FFFFFF"/>
        </w:rPr>
        <w:t>16</w:t>
      </w:r>
      <w:r w:rsidRPr="00196355">
        <w:rPr>
          <w:rFonts w:cs="Arial"/>
          <w:sz w:val="18"/>
          <w:szCs w:val="18"/>
          <w:shd w:val="clear" w:color="auto" w:fill="FFFFFF"/>
        </w:rPr>
        <w:t xml:space="preserve">(9), 587–589. </w:t>
      </w:r>
      <w:hyperlink r:id="rId13" w:history="1">
        <w:r w:rsidRPr="00196355">
          <w:rPr>
            <w:rStyle w:val="Hyperlink"/>
            <w:rFonts w:cs="Arial"/>
            <w:sz w:val="18"/>
            <w:szCs w:val="18"/>
          </w:rPr>
          <w:t>Refining the Management of Polycythemia Vera – Hematology &amp; Oncology (hematologyandoncology.net)</w:t>
        </w:r>
      </w:hyperlink>
      <w:r w:rsidRPr="00196355">
        <w:rPr>
          <w:rFonts w:cs="Arial"/>
          <w:sz w:val="18"/>
          <w:szCs w:val="18"/>
        </w:rPr>
        <w:t xml:space="preserve">. </w:t>
      </w:r>
      <w:r w:rsidRPr="00196355">
        <w:rPr>
          <w:rFonts w:cs="Arial"/>
          <w:sz w:val="18"/>
          <w:szCs w:val="18"/>
          <w:shd w:val="clear" w:color="auto" w:fill="FFFFFF"/>
        </w:rPr>
        <w:t xml:space="preserve">Accessed </w:t>
      </w:r>
      <w:r>
        <w:rPr>
          <w:rFonts w:cs="Arial"/>
          <w:sz w:val="18"/>
          <w:szCs w:val="18"/>
          <w:shd w:val="clear" w:color="auto" w:fill="FFFFFF"/>
        </w:rPr>
        <w:t>April 10, 2024.</w:t>
      </w:r>
      <w:r w:rsidRPr="00196355">
        <w:rPr>
          <w:rFonts w:cs="Arial"/>
          <w:sz w:val="18"/>
          <w:szCs w:val="18"/>
          <w:shd w:val="clear" w:color="auto" w:fill="FFFFFF"/>
        </w:rPr>
        <w:t xml:space="preserve"> </w:t>
      </w:r>
    </w:p>
    <w:p w14:paraId="3FA1E7DB" w14:textId="6761C804" w:rsidR="00777CA4" w:rsidRPr="001A0FA2" w:rsidRDefault="001A0FA2" w:rsidP="001A0FA2">
      <w:pPr>
        <w:pStyle w:val="ListParagraph"/>
        <w:numPr>
          <w:ilvl w:val="0"/>
          <w:numId w:val="18"/>
        </w:numPr>
        <w:rPr>
          <w:rFonts w:cs="Arial"/>
          <w:bCs/>
          <w:sz w:val="18"/>
          <w:szCs w:val="18"/>
        </w:rPr>
      </w:pPr>
      <w:r w:rsidRPr="00196355">
        <w:rPr>
          <w:rFonts w:cs="Arial"/>
          <w:color w:val="1A1A1A"/>
          <w:sz w:val="18"/>
          <w:szCs w:val="18"/>
          <w:shd w:val="clear" w:color="auto" w:fill="FFFFFF"/>
        </w:rPr>
        <w:t>Spivak, J.  How I treat polycythemia vera. </w:t>
      </w:r>
      <w:r w:rsidRPr="00196355">
        <w:rPr>
          <w:rStyle w:val="Emphasis"/>
          <w:rFonts w:cs="Arial"/>
          <w:color w:val="1A1A1A"/>
          <w:sz w:val="18"/>
          <w:szCs w:val="18"/>
          <w:bdr w:val="none" w:sz="0" w:space="0" w:color="auto" w:frame="1"/>
          <w:shd w:val="clear" w:color="auto" w:fill="FFFFFF"/>
        </w:rPr>
        <w:t>Blood</w:t>
      </w:r>
      <w:r w:rsidRPr="00196355">
        <w:rPr>
          <w:rFonts w:cs="Arial"/>
          <w:color w:val="1A1A1A"/>
          <w:sz w:val="18"/>
          <w:szCs w:val="18"/>
          <w:shd w:val="clear" w:color="auto" w:fill="FFFFFF"/>
        </w:rPr>
        <w:t> 2019; 134 (4): 341–352. doi: </w:t>
      </w:r>
      <w:hyperlink r:id="rId14" w:history="1">
        <w:r w:rsidRPr="00196355">
          <w:rPr>
            <w:rStyle w:val="Hyperlink"/>
            <w:rFonts w:cs="Arial"/>
            <w:sz w:val="18"/>
            <w:szCs w:val="18"/>
          </w:rPr>
          <w:t>How I treat polycythemia vera | Blood | American Society of Hematology (ashpublications.org)</w:t>
        </w:r>
      </w:hyperlink>
      <w:r w:rsidRPr="00196355">
        <w:rPr>
          <w:rFonts w:cs="Arial"/>
          <w:sz w:val="18"/>
          <w:szCs w:val="18"/>
        </w:rPr>
        <w:t xml:space="preserve">. </w:t>
      </w:r>
      <w:r>
        <w:rPr>
          <w:rFonts w:cs="Arial"/>
          <w:sz w:val="18"/>
          <w:szCs w:val="18"/>
        </w:rPr>
        <w:t>Accessed April 10, 2024.</w:t>
      </w:r>
      <w:r w:rsidRPr="00196355">
        <w:rPr>
          <w:rFonts w:cs="Arial"/>
          <w:sz w:val="18"/>
          <w:szCs w:val="18"/>
        </w:rPr>
        <w:t xml:space="preserve"> </w:t>
      </w:r>
    </w:p>
    <w:sectPr w:rsidR="00777CA4" w:rsidRPr="001A0FA2" w:rsidSect="00AB0B9F">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2327" w14:textId="77777777" w:rsidR="00D4280A" w:rsidRPr="00C02553" w:rsidRDefault="00D4280A" w:rsidP="00AE77DB">
      <w:r w:rsidRPr="00C02553">
        <w:separator/>
      </w:r>
    </w:p>
  </w:endnote>
  <w:endnote w:type="continuationSeparator" w:id="0">
    <w:p w14:paraId="1D79ABF4" w14:textId="77777777" w:rsidR="00D4280A" w:rsidRPr="00C02553" w:rsidRDefault="00D4280A" w:rsidP="00AE77DB">
      <w:r w:rsidRPr="00C02553">
        <w:continuationSeparator/>
      </w:r>
    </w:p>
  </w:endnote>
  <w:endnote w:type="continuationNotice" w:id="1">
    <w:p w14:paraId="5A4816E3" w14:textId="77777777" w:rsidR="00D4280A" w:rsidRPr="00C02553" w:rsidRDefault="00D42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A004" w14:textId="77777777" w:rsidR="00D4280A" w:rsidRPr="00C02553" w:rsidRDefault="00D4280A" w:rsidP="00AE77DB">
      <w:r w:rsidRPr="00C02553">
        <w:separator/>
      </w:r>
    </w:p>
  </w:footnote>
  <w:footnote w:type="continuationSeparator" w:id="0">
    <w:p w14:paraId="1AEDACD0" w14:textId="77777777" w:rsidR="00D4280A" w:rsidRPr="00C02553" w:rsidRDefault="00D4280A" w:rsidP="00AE77DB">
      <w:r w:rsidRPr="00C02553">
        <w:continuationSeparator/>
      </w:r>
    </w:p>
  </w:footnote>
  <w:footnote w:type="continuationNotice" w:id="1">
    <w:p w14:paraId="6DB3402C" w14:textId="77777777" w:rsidR="00D4280A" w:rsidRPr="00C02553" w:rsidRDefault="00D42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F14A95">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F14A95">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F14A95">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479D6"/>
    <w:multiLevelType w:val="hybridMultilevel"/>
    <w:tmpl w:val="BE7E8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346226"/>
    <w:multiLevelType w:val="hybridMultilevel"/>
    <w:tmpl w:val="65864D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17"/>
  </w:num>
  <w:num w:numId="3" w16cid:durableId="1729067566">
    <w:abstractNumId w:val="4"/>
  </w:num>
  <w:num w:numId="4" w16cid:durableId="320159068">
    <w:abstractNumId w:val="8"/>
  </w:num>
  <w:num w:numId="5" w16cid:durableId="1769498754">
    <w:abstractNumId w:val="3"/>
  </w:num>
  <w:num w:numId="6" w16cid:durableId="1094596320">
    <w:abstractNumId w:val="14"/>
  </w:num>
  <w:num w:numId="7" w16cid:durableId="2110008555">
    <w:abstractNumId w:val="2"/>
  </w:num>
  <w:num w:numId="8" w16cid:durableId="489712751">
    <w:abstractNumId w:val="7"/>
  </w:num>
  <w:num w:numId="9" w16cid:durableId="1085147965">
    <w:abstractNumId w:val="12"/>
  </w:num>
  <w:num w:numId="10" w16cid:durableId="917518096">
    <w:abstractNumId w:val="9"/>
  </w:num>
  <w:num w:numId="11" w16cid:durableId="1894998475">
    <w:abstractNumId w:val="1"/>
  </w:num>
  <w:num w:numId="12" w16cid:durableId="1418215296">
    <w:abstractNumId w:val="15"/>
  </w:num>
  <w:num w:numId="13" w16cid:durableId="604729665">
    <w:abstractNumId w:val="5"/>
  </w:num>
  <w:num w:numId="14" w16cid:durableId="1805081292">
    <w:abstractNumId w:val="13"/>
  </w:num>
  <w:num w:numId="15" w16cid:durableId="1911186802">
    <w:abstractNumId w:val="6"/>
  </w:num>
  <w:num w:numId="16" w16cid:durableId="2032102146">
    <w:abstractNumId w:val="11"/>
  </w:num>
  <w:num w:numId="17" w16cid:durableId="1024601328">
    <w:abstractNumId w:val="10"/>
  </w:num>
  <w:num w:numId="18" w16cid:durableId="106603406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1k5kVy3Oh5rhDIM+kRpi4W1cSz971h9PbtS+R0B+aUvWqFgFCEDgoDvu+GOuaXZgjrw3iaxz8Z9pNJzFlzz1mA==" w:salt="GLz14fYqooFiQv47VahCIg=="/>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6A61"/>
    <w:rsid w:val="00017CBA"/>
    <w:rsid w:val="00025D3A"/>
    <w:rsid w:val="000276D9"/>
    <w:rsid w:val="000344C5"/>
    <w:rsid w:val="00040AD3"/>
    <w:rsid w:val="00053807"/>
    <w:rsid w:val="000572E5"/>
    <w:rsid w:val="00061541"/>
    <w:rsid w:val="00064162"/>
    <w:rsid w:val="00065C22"/>
    <w:rsid w:val="00074464"/>
    <w:rsid w:val="00076030"/>
    <w:rsid w:val="00082590"/>
    <w:rsid w:val="000913C3"/>
    <w:rsid w:val="000953B9"/>
    <w:rsid w:val="000A2D17"/>
    <w:rsid w:val="000A413B"/>
    <w:rsid w:val="000A6279"/>
    <w:rsid w:val="000B496B"/>
    <w:rsid w:val="000C040B"/>
    <w:rsid w:val="000C3940"/>
    <w:rsid w:val="000C5992"/>
    <w:rsid w:val="000E1479"/>
    <w:rsid w:val="000E231E"/>
    <w:rsid w:val="000E247D"/>
    <w:rsid w:val="000E6B14"/>
    <w:rsid w:val="000E70D8"/>
    <w:rsid w:val="001062F6"/>
    <w:rsid w:val="00110F6B"/>
    <w:rsid w:val="00112FC7"/>
    <w:rsid w:val="00125F5F"/>
    <w:rsid w:val="00126951"/>
    <w:rsid w:val="00126B60"/>
    <w:rsid w:val="00127EF6"/>
    <w:rsid w:val="001310AD"/>
    <w:rsid w:val="001314A5"/>
    <w:rsid w:val="00132C7F"/>
    <w:rsid w:val="00143A11"/>
    <w:rsid w:val="00144DBE"/>
    <w:rsid w:val="00152C8B"/>
    <w:rsid w:val="00155BD8"/>
    <w:rsid w:val="0015636A"/>
    <w:rsid w:val="00172053"/>
    <w:rsid w:val="00174D4A"/>
    <w:rsid w:val="00177A80"/>
    <w:rsid w:val="001808B8"/>
    <w:rsid w:val="001A0FA2"/>
    <w:rsid w:val="001A50CB"/>
    <w:rsid w:val="001A74B7"/>
    <w:rsid w:val="001B2D47"/>
    <w:rsid w:val="001B5F66"/>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3092B"/>
    <w:rsid w:val="00246564"/>
    <w:rsid w:val="00246A3B"/>
    <w:rsid w:val="00250FBF"/>
    <w:rsid w:val="00255404"/>
    <w:rsid w:val="0025594F"/>
    <w:rsid w:val="00261CEC"/>
    <w:rsid w:val="00270C5E"/>
    <w:rsid w:val="00271867"/>
    <w:rsid w:val="00290A03"/>
    <w:rsid w:val="0029159A"/>
    <w:rsid w:val="00291600"/>
    <w:rsid w:val="002A02F4"/>
    <w:rsid w:val="002C2C41"/>
    <w:rsid w:val="002C62E7"/>
    <w:rsid w:val="002E05E2"/>
    <w:rsid w:val="002E2DD6"/>
    <w:rsid w:val="002E3F28"/>
    <w:rsid w:val="002F0E52"/>
    <w:rsid w:val="002F15BD"/>
    <w:rsid w:val="002F2274"/>
    <w:rsid w:val="002F2405"/>
    <w:rsid w:val="002F690F"/>
    <w:rsid w:val="0030301F"/>
    <w:rsid w:val="00303B21"/>
    <w:rsid w:val="00310176"/>
    <w:rsid w:val="003105A5"/>
    <w:rsid w:val="00313701"/>
    <w:rsid w:val="00314430"/>
    <w:rsid w:val="00316188"/>
    <w:rsid w:val="003171AF"/>
    <w:rsid w:val="00317469"/>
    <w:rsid w:val="0032215C"/>
    <w:rsid w:val="0032616B"/>
    <w:rsid w:val="00326687"/>
    <w:rsid w:val="003275F9"/>
    <w:rsid w:val="00330DD4"/>
    <w:rsid w:val="003345D2"/>
    <w:rsid w:val="003355AC"/>
    <w:rsid w:val="00336713"/>
    <w:rsid w:val="00343D6B"/>
    <w:rsid w:val="00346090"/>
    <w:rsid w:val="00347FB5"/>
    <w:rsid w:val="00347FCC"/>
    <w:rsid w:val="00355515"/>
    <w:rsid w:val="003608B5"/>
    <w:rsid w:val="003613AF"/>
    <w:rsid w:val="003878C1"/>
    <w:rsid w:val="00396C0B"/>
    <w:rsid w:val="003A630F"/>
    <w:rsid w:val="003B3958"/>
    <w:rsid w:val="003B4820"/>
    <w:rsid w:val="003B5F4B"/>
    <w:rsid w:val="003B682F"/>
    <w:rsid w:val="003C53FC"/>
    <w:rsid w:val="003C7013"/>
    <w:rsid w:val="003D21A5"/>
    <w:rsid w:val="003D4704"/>
    <w:rsid w:val="003D641B"/>
    <w:rsid w:val="003F227C"/>
    <w:rsid w:val="004023CC"/>
    <w:rsid w:val="00407564"/>
    <w:rsid w:val="00411152"/>
    <w:rsid w:val="004156AA"/>
    <w:rsid w:val="004253A1"/>
    <w:rsid w:val="004313B6"/>
    <w:rsid w:val="00433339"/>
    <w:rsid w:val="00436159"/>
    <w:rsid w:val="00446BBC"/>
    <w:rsid w:val="004471BA"/>
    <w:rsid w:val="004472C0"/>
    <w:rsid w:val="00450705"/>
    <w:rsid w:val="00451928"/>
    <w:rsid w:val="00460B5D"/>
    <w:rsid w:val="0046618B"/>
    <w:rsid w:val="0048608C"/>
    <w:rsid w:val="00496E57"/>
    <w:rsid w:val="004A2D4A"/>
    <w:rsid w:val="004B3E10"/>
    <w:rsid w:val="004B5BC3"/>
    <w:rsid w:val="004C0F5D"/>
    <w:rsid w:val="004C375A"/>
    <w:rsid w:val="004C4954"/>
    <w:rsid w:val="004C5767"/>
    <w:rsid w:val="004D0080"/>
    <w:rsid w:val="004D5322"/>
    <w:rsid w:val="004D78B0"/>
    <w:rsid w:val="004E611F"/>
    <w:rsid w:val="004F2A79"/>
    <w:rsid w:val="004F4D37"/>
    <w:rsid w:val="004F6A12"/>
    <w:rsid w:val="00501A14"/>
    <w:rsid w:val="00501DE3"/>
    <w:rsid w:val="005058CB"/>
    <w:rsid w:val="0051044D"/>
    <w:rsid w:val="005139E4"/>
    <w:rsid w:val="00515075"/>
    <w:rsid w:val="00516D12"/>
    <w:rsid w:val="00520FE9"/>
    <w:rsid w:val="005233E7"/>
    <w:rsid w:val="00526C8D"/>
    <w:rsid w:val="005328B2"/>
    <w:rsid w:val="00535BD5"/>
    <w:rsid w:val="00540977"/>
    <w:rsid w:val="00551668"/>
    <w:rsid w:val="005572D5"/>
    <w:rsid w:val="00566BE4"/>
    <w:rsid w:val="00570D21"/>
    <w:rsid w:val="00576113"/>
    <w:rsid w:val="00590652"/>
    <w:rsid w:val="0059235F"/>
    <w:rsid w:val="00596936"/>
    <w:rsid w:val="005A2F1E"/>
    <w:rsid w:val="005A4232"/>
    <w:rsid w:val="005C3616"/>
    <w:rsid w:val="005D36B2"/>
    <w:rsid w:val="005D52E7"/>
    <w:rsid w:val="005D78B5"/>
    <w:rsid w:val="005E3572"/>
    <w:rsid w:val="005E45E4"/>
    <w:rsid w:val="005F0A81"/>
    <w:rsid w:val="005F0FCF"/>
    <w:rsid w:val="005F6104"/>
    <w:rsid w:val="0060042F"/>
    <w:rsid w:val="006008BC"/>
    <w:rsid w:val="00602CFD"/>
    <w:rsid w:val="00606B55"/>
    <w:rsid w:val="00612A7B"/>
    <w:rsid w:val="00616E5E"/>
    <w:rsid w:val="006173A4"/>
    <w:rsid w:val="006205AD"/>
    <w:rsid w:val="00625C3A"/>
    <w:rsid w:val="0063394F"/>
    <w:rsid w:val="00635DDB"/>
    <w:rsid w:val="0064149A"/>
    <w:rsid w:val="00646DFE"/>
    <w:rsid w:val="00650530"/>
    <w:rsid w:val="00650C96"/>
    <w:rsid w:val="00653788"/>
    <w:rsid w:val="0065477F"/>
    <w:rsid w:val="00656896"/>
    <w:rsid w:val="00661656"/>
    <w:rsid w:val="0066374F"/>
    <w:rsid w:val="00667071"/>
    <w:rsid w:val="00677C65"/>
    <w:rsid w:val="00693152"/>
    <w:rsid w:val="00694FAE"/>
    <w:rsid w:val="00696E3A"/>
    <w:rsid w:val="006A0834"/>
    <w:rsid w:val="006A4BBD"/>
    <w:rsid w:val="006A52F1"/>
    <w:rsid w:val="006B561D"/>
    <w:rsid w:val="006B6D5D"/>
    <w:rsid w:val="006D2330"/>
    <w:rsid w:val="006E0F8B"/>
    <w:rsid w:val="006E12F7"/>
    <w:rsid w:val="006E29D7"/>
    <w:rsid w:val="007068A4"/>
    <w:rsid w:val="00706D67"/>
    <w:rsid w:val="00713052"/>
    <w:rsid w:val="00721367"/>
    <w:rsid w:val="007231FA"/>
    <w:rsid w:val="00732BA5"/>
    <w:rsid w:val="00732C67"/>
    <w:rsid w:val="00734418"/>
    <w:rsid w:val="00757826"/>
    <w:rsid w:val="00762B13"/>
    <w:rsid w:val="007632B7"/>
    <w:rsid w:val="0076382F"/>
    <w:rsid w:val="00765768"/>
    <w:rsid w:val="00765D10"/>
    <w:rsid w:val="00766AC8"/>
    <w:rsid w:val="00767486"/>
    <w:rsid w:val="0077070E"/>
    <w:rsid w:val="0077296A"/>
    <w:rsid w:val="00777CA4"/>
    <w:rsid w:val="00783CE5"/>
    <w:rsid w:val="00792DF0"/>
    <w:rsid w:val="0079438F"/>
    <w:rsid w:val="007A3034"/>
    <w:rsid w:val="007A527E"/>
    <w:rsid w:val="007A53E7"/>
    <w:rsid w:val="007A78F7"/>
    <w:rsid w:val="007B3333"/>
    <w:rsid w:val="007B379F"/>
    <w:rsid w:val="007B37D6"/>
    <w:rsid w:val="007B5D30"/>
    <w:rsid w:val="007D2920"/>
    <w:rsid w:val="007D42DD"/>
    <w:rsid w:val="007E6A37"/>
    <w:rsid w:val="007E75FC"/>
    <w:rsid w:val="007F1774"/>
    <w:rsid w:val="007F593C"/>
    <w:rsid w:val="00810E5C"/>
    <w:rsid w:val="00811A70"/>
    <w:rsid w:val="0081406E"/>
    <w:rsid w:val="008232FF"/>
    <w:rsid w:val="00832211"/>
    <w:rsid w:val="008325F4"/>
    <w:rsid w:val="00832AC8"/>
    <w:rsid w:val="00846FA4"/>
    <w:rsid w:val="008524BA"/>
    <w:rsid w:val="00852B74"/>
    <w:rsid w:val="00855768"/>
    <w:rsid w:val="00856928"/>
    <w:rsid w:val="00865538"/>
    <w:rsid w:val="00870875"/>
    <w:rsid w:val="0088225C"/>
    <w:rsid w:val="00884026"/>
    <w:rsid w:val="00884C78"/>
    <w:rsid w:val="008859E1"/>
    <w:rsid w:val="00896264"/>
    <w:rsid w:val="008A2549"/>
    <w:rsid w:val="008A5D88"/>
    <w:rsid w:val="008B2851"/>
    <w:rsid w:val="008C000E"/>
    <w:rsid w:val="008D0F2F"/>
    <w:rsid w:val="008D237F"/>
    <w:rsid w:val="008D3FD8"/>
    <w:rsid w:val="008D6B05"/>
    <w:rsid w:val="008E7D2D"/>
    <w:rsid w:val="008F44C0"/>
    <w:rsid w:val="008F5999"/>
    <w:rsid w:val="00903AD6"/>
    <w:rsid w:val="00904D7A"/>
    <w:rsid w:val="00915332"/>
    <w:rsid w:val="009204BB"/>
    <w:rsid w:val="00935918"/>
    <w:rsid w:val="00935EC3"/>
    <w:rsid w:val="00944A46"/>
    <w:rsid w:val="00951097"/>
    <w:rsid w:val="00953C1E"/>
    <w:rsid w:val="0096210F"/>
    <w:rsid w:val="00962633"/>
    <w:rsid w:val="00963187"/>
    <w:rsid w:val="00963ACF"/>
    <w:rsid w:val="00963D1C"/>
    <w:rsid w:val="00964284"/>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D6EAB"/>
    <w:rsid w:val="009E3B42"/>
    <w:rsid w:val="009F518A"/>
    <w:rsid w:val="00A02AF6"/>
    <w:rsid w:val="00A05B60"/>
    <w:rsid w:val="00A13266"/>
    <w:rsid w:val="00A14FA6"/>
    <w:rsid w:val="00A15D64"/>
    <w:rsid w:val="00A20575"/>
    <w:rsid w:val="00A32452"/>
    <w:rsid w:val="00A325CC"/>
    <w:rsid w:val="00A32BBF"/>
    <w:rsid w:val="00A37444"/>
    <w:rsid w:val="00A4281A"/>
    <w:rsid w:val="00A459CF"/>
    <w:rsid w:val="00A5014D"/>
    <w:rsid w:val="00A53E96"/>
    <w:rsid w:val="00A56F18"/>
    <w:rsid w:val="00A628F8"/>
    <w:rsid w:val="00A62BAA"/>
    <w:rsid w:val="00A66172"/>
    <w:rsid w:val="00A744C3"/>
    <w:rsid w:val="00A80896"/>
    <w:rsid w:val="00AA70AB"/>
    <w:rsid w:val="00AB0B9F"/>
    <w:rsid w:val="00AB1713"/>
    <w:rsid w:val="00AB63BE"/>
    <w:rsid w:val="00AC1EBC"/>
    <w:rsid w:val="00AC2599"/>
    <w:rsid w:val="00AC2DE9"/>
    <w:rsid w:val="00AC3CD9"/>
    <w:rsid w:val="00AD2C5F"/>
    <w:rsid w:val="00AE1481"/>
    <w:rsid w:val="00AE27F9"/>
    <w:rsid w:val="00AE678F"/>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16956"/>
    <w:rsid w:val="00C2586C"/>
    <w:rsid w:val="00C26001"/>
    <w:rsid w:val="00C34E72"/>
    <w:rsid w:val="00C56B1F"/>
    <w:rsid w:val="00C61B52"/>
    <w:rsid w:val="00C62745"/>
    <w:rsid w:val="00C654CA"/>
    <w:rsid w:val="00C763BD"/>
    <w:rsid w:val="00C779A8"/>
    <w:rsid w:val="00C82E19"/>
    <w:rsid w:val="00C96873"/>
    <w:rsid w:val="00CA1735"/>
    <w:rsid w:val="00CA207E"/>
    <w:rsid w:val="00CA3C4B"/>
    <w:rsid w:val="00CA7252"/>
    <w:rsid w:val="00CB2C5A"/>
    <w:rsid w:val="00CB7185"/>
    <w:rsid w:val="00CE0C1C"/>
    <w:rsid w:val="00CE34AF"/>
    <w:rsid w:val="00CE4A1B"/>
    <w:rsid w:val="00CF00A4"/>
    <w:rsid w:val="00CF25FB"/>
    <w:rsid w:val="00CF614C"/>
    <w:rsid w:val="00D02F34"/>
    <w:rsid w:val="00D13D87"/>
    <w:rsid w:val="00D16590"/>
    <w:rsid w:val="00D20720"/>
    <w:rsid w:val="00D232D9"/>
    <w:rsid w:val="00D250D9"/>
    <w:rsid w:val="00D27533"/>
    <w:rsid w:val="00D4280A"/>
    <w:rsid w:val="00D42DA3"/>
    <w:rsid w:val="00D4546D"/>
    <w:rsid w:val="00D47996"/>
    <w:rsid w:val="00D61118"/>
    <w:rsid w:val="00D614F1"/>
    <w:rsid w:val="00D70D50"/>
    <w:rsid w:val="00D71917"/>
    <w:rsid w:val="00D95E68"/>
    <w:rsid w:val="00DA3A0F"/>
    <w:rsid w:val="00DA4E62"/>
    <w:rsid w:val="00DA6990"/>
    <w:rsid w:val="00DB27BA"/>
    <w:rsid w:val="00DB3009"/>
    <w:rsid w:val="00DB337A"/>
    <w:rsid w:val="00DC034A"/>
    <w:rsid w:val="00DC51CB"/>
    <w:rsid w:val="00DD4819"/>
    <w:rsid w:val="00DD4B8A"/>
    <w:rsid w:val="00DD5403"/>
    <w:rsid w:val="00DE1388"/>
    <w:rsid w:val="00DE7501"/>
    <w:rsid w:val="00DF17AB"/>
    <w:rsid w:val="00DF3146"/>
    <w:rsid w:val="00DF57C3"/>
    <w:rsid w:val="00E008D9"/>
    <w:rsid w:val="00E02FE0"/>
    <w:rsid w:val="00E07ABE"/>
    <w:rsid w:val="00E11A3F"/>
    <w:rsid w:val="00E1386E"/>
    <w:rsid w:val="00E2369B"/>
    <w:rsid w:val="00E23EC0"/>
    <w:rsid w:val="00E354AA"/>
    <w:rsid w:val="00E43D54"/>
    <w:rsid w:val="00E442FB"/>
    <w:rsid w:val="00E529DB"/>
    <w:rsid w:val="00E53A5E"/>
    <w:rsid w:val="00E6466A"/>
    <w:rsid w:val="00E72221"/>
    <w:rsid w:val="00E81B96"/>
    <w:rsid w:val="00E83428"/>
    <w:rsid w:val="00E84C58"/>
    <w:rsid w:val="00E873A5"/>
    <w:rsid w:val="00E90D11"/>
    <w:rsid w:val="00E915E5"/>
    <w:rsid w:val="00EB0367"/>
    <w:rsid w:val="00EB4FB9"/>
    <w:rsid w:val="00EB5BC8"/>
    <w:rsid w:val="00EC2738"/>
    <w:rsid w:val="00ED760F"/>
    <w:rsid w:val="00ED7B42"/>
    <w:rsid w:val="00EE3EA5"/>
    <w:rsid w:val="00EE613F"/>
    <w:rsid w:val="00EE6BD1"/>
    <w:rsid w:val="00EF0262"/>
    <w:rsid w:val="00EF0828"/>
    <w:rsid w:val="00EF6F8B"/>
    <w:rsid w:val="00F03898"/>
    <w:rsid w:val="00F14A95"/>
    <w:rsid w:val="00F1527A"/>
    <w:rsid w:val="00F2696B"/>
    <w:rsid w:val="00F27821"/>
    <w:rsid w:val="00F4092A"/>
    <w:rsid w:val="00F41F69"/>
    <w:rsid w:val="00F43E41"/>
    <w:rsid w:val="00F4790C"/>
    <w:rsid w:val="00F50C4B"/>
    <w:rsid w:val="00F54C08"/>
    <w:rsid w:val="00F553A2"/>
    <w:rsid w:val="00F6068C"/>
    <w:rsid w:val="00F62763"/>
    <w:rsid w:val="00F62F33"/>
    <w:rsid w:val="00F634C1"/>
    <w:rsid w:val="00F63A52"/>
    <w:rsid w:val="00F730BA"/>
    <w:rsid w:val="00F87CCE"/>
    <w:rsid w:val="00F903BE"/>
    <w:rsid w:val="00F94176"/>
    <w:rsid w:val="00F95D04"/>
    <w:rsid w:val="00FA16EC"/>
    <w:rsid w:val="00FA2811"/>
    <w:rsid w:val="00FA4837"/>
    <w:rsid w:val="00FB1D33"/>
    <w:rsid w:val="00FB5E96"/>
    <w:rsid w:val="00FC05A0"/>
    <w:rsid w:val="00FC6758"/>
    <w:rsid w:val="00FD34EA"/>
    <w:rsid w:val="00FE3F3E"/>
    <w:rsid w:val="00FE4D52"/>
    <w:rsid w:val="00FE5AEE"/>
    <w:rsid w:val="00FF106B"/>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155BD8"/>
    <w:rPr>
      <w:sz w:val="16"/>
      <w:szCs w:val="16"/>
    </w:rPr>
  </w:style>
  <w:style w:type="paragraph" w:styleId="CommentSubject">
    <w:name w:val="annotation subject"/>
    <w:basedOn w:val="CommentText"/>
    <w:next w:val="CommentText"/>
    <w:link w:val="CommentSubjectChar"/>
    <w:uiPriority w:val="99"/>
    <w:semiHidden/>
    <w:unhideWhenUsed/>
    <w:rsid w:val="00155BD8"/>
    <w:rPr>
      <w:b/>
      <w:bCs/>
    </w:rPr>
  </w:style>
  <w:style w:type="character" w:customStyle="1" w:styleId="CommentTextChar">
    <w:name w:val="Comment Text Char"/>
    <w:basedOn w:val="DefaultParagraphFont"/>
    <w:link w:val="CommentText"/>
    <w:semiHidden/>
    <w:rsid w:val="00155BD8"/>
    <w:rPr>
      <w:rFonts w:ascii="Arial" w:hAnsi="Arial"/>
    </w:rPr>
  </w:style>
  <w:style w:type="character" w:customStyle="1" w:styleId="CommentSubjectChar">
    <w:name w:val="Comment Subject Char"/>
    <w:basedOn w:val="CommentTextChar"/>
    <w:link w:val="CommentSubject"/>
    <w:uiPriority w:val="99"/>
    <w:semiHidden/>
    <w:rsid w:val="00155BD8"/>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matologyandoncology.net/archives/september-2018/refining-the-management-of-polycythemia-ver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uptodate.com/contents/clinical-manifestations-and-diagnosis-of-polycythemia-vera?search=polycythemia%20vera&amp;source=search_result&amp;selectedTitle=1~109&amp;usage_type=default&amp;display_rank=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ptodate.com/contents/prognosis-and-treatment-of-polycythemia-vera?search=polycythemia%20vera&amp;source=search_result&amp;selectedTitle=2~109&amp;usage_type=default&amp;display_rank=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hpublications.org/blood/article/134/4/341/260695/How-I-treat-polycythemia-vera"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15B1B-DDA2-4661-BB27-8C5C83EE2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3.xml><?xml version="1.0" encoding="utf-8"?>
<ds:datastoreItem xmlns:ds="http://schemas.openxmlformats.org/officeDocument/2006/customXml" ds:itemID="{0F9992BC-7C11-4A83-A97F-D2E41AE80BFC}">
  <ds:schemaRefs>
    <ds:schemaRef ds:uri="http://schemas.microsoft.com/office/infopath/2007/PartnerControls"/>
    <ds:schemaRef ds:uri="http://schemas.microsoft.com/sharepoint/v3"/>
    <ds:schemaRef ds:uri="http://purl.org/dc/terms/"/>
    <ds:schemaRef ds:uri="http://schemas.openxmlformats.org/package/2006/metadata/core-properties"/>
    <ds:schemaRef ds:uri="http://purl.org/dc/dcmitype/"/>
    <ds:schemaRef ds:uri="f5eefb00-5952-4f7e-8cf8-96f81cfadd01"/>
    <ds:schemaRef ds:uri="http://schemas.microsoft.com/office/2006/documentManagement/types"/>
    <ds:schemaRef ds:uri="http://schemas.microsoft.com/office/2006/metadata/properties"/>
    <ds:schemaRef ds:uri="aba01ddc-ae9a-4c9e-819c-7140b4239cde"/>
    <ds:schemaRef ds:uri="http://www.w3.org/XML/1998/namespace"/>
    <ds:schemaRef ds:uri="http://purl.org/dc/elements/1.1/"/>
  </ds:schemaRefs>
</ds:datastoreItem>
</file>

<file path=customXml/itemProps4.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731</Words>
  <Characters>4838</Characters>
  <Application>Microsoft Office Word</Application>
  <DocSecurity>10</DocSecurity>
  <Lines>40</Lines>
  <Paragraphs>11</Paragraphs>
  <ScaleCrop>false</ScaleCrop>
  <HeadingPairs>
    <vt:vector size="2" baseType="variant">
      <vt:variant>
        <vt:lpstr>Title</vt:lpstr>
      </vt:variant>
      <vt:variant>
        <vt:i4>1</vt:i4>
      </vt:variant>
    </vt:vector>
  </HeadingPairs>
  <TitlesOfParts>
    <vt:vector size="1" baseType="lpstr">
      <vt:lpstr>Besremi CE</vt:lpstr>
    </vt:vector>
  </TitlesOfParts>
  <Company>DSS</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Besremi CE</dc:title>
  <dc:subject/>
  <dc:creator>DMS</dc:creator>
  <cp:keywords/>
  <cp:lastModifiedBy>Heriford, Katherine</cp:lastModifiedBy>
  <cp:revision>37</cp:revision>
  <cp:lastPrinted>2018-10-31T18:17:00Z</cp:lastPrinted>
  <dcterms:created xsi:type="dcterms:W3CDTF">2025-11-19T15:39:00Z</dcterms:created>
  <dcterms:modified xsi:type="dcterms:W3CDTF">2026-07-06T17:17:00Z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