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r w:rsidRPr="00C02553">
        <w:rPr>
          <w:lang w:val="en-US"/>
        </w:rPr>
        <w:t>SmartPA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2726D211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>
        <w:t xml:space="preserve"> </w:t>
      </w:r>
      <w:proofErr w:type="spellStart"/>
      <w:r w:rsidR="00797E66" w:rsidRPr="00797E66">
        <w:rPr>
          <w:b w:val="0"/>
          <w:bCs/>
        </w:rPr>
        <w:t>Ampyra</w:t>
      </w:r>
      <w:proofErr w:type="spellEnd"/>
      <w:r w:rsidR="00797E66" w:rsidRPr="00797E66">
        <w:rPr>
          <w:b w:val="0"/>
          <w:bCs/>
        </w:rPr>
        <w:t xml:space="preserve"> Clinical Edit</w:t>
      </w:r>
    </w:p>
    <w:p w14:paraId="7AD7FFCE" w14:textId="7864C341" w:rsidR="004C5767" w:rsidRPr="00C02553" w:rsidRDefault="004C5767" w:rsidP="00D27533">
      <w:pPr>
        <w:pStyle w:val="tbody"/>
      </w:pPr>
      <w:r w:rsidRPr="00C02553">
        <w:t xml:space="preserve">First Implementation Date: </w:t>
      </w:r>
      <w:r w:rsidR="00E2517E" w:rsidRPr="00E2517E">
        <w:rPr>
          <w:b w:val="0"/>
          <w:bCs/>
        </w:rPr>
        <w:t>June 30, 2011</w:t>
      </w:r>
    </w:p>
    <w:p w14:paraId="4B7D760D" w14:textId="63B50EC9" w:rsidR="004C5767" w:rsidRPr="00D232D9" w:rsidRDefault="00D95E68" w:rsidP="15EB50BA">
      <w:pPr>
        <w:pStyle w:val="tbody"/>
        <w:rPr>
          <w:b w:val="0"/>
        </w:rPr>
      </w:pPr>
      <w:r>
        <w:t>Proposed</w:t>
      </w:r>
      <w:r w:rsidR="004C5767">
        <w:t xml:space="preserve"> Date:</w:t>
      </w:r>
      <w:r w:rsidR="00065C22">
        <w:t xml:space="preserve"> </w:t>
      </w:r>
      <w:r w:rsidR="00E2517E">
        <w:rPr>
          <w:b w:val="0"/>
        </w:rPr>
        <w:t>July 14</w:t>
      </w:r>
      <w:r w:rsidR="00D232D9">
        <w:rPr>
          <w:b w:val="0"/>
        </w:rPr>
        <w:t>, 2026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34051CB9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C02553">
        <w:t xml:space="preserve">Criteria Status: </w:t>
      </w:r>
      <w:r w:rsidR="00566BE4" w:rsidRPr="003D13B9">
        <w:rPr>
          <w:b w:val="0"/>
          <w:bCs/>
          <w:spacing w:val="-3"/>
        </w:rPr>
        <w:t>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61D50949" w:rsidR="00D47996" w:rsidRDefault="79EEA449" w:rsidP="00696E3A">
      <w:r>
        <w:t>Ensure appropriate utilization and control of</w:t>
      </w:r>
      <w:r w:rsidR="00D47996">
        <w:t xml:space="preserve"> </w:t>
      </w:r>
      <w:r w:rsidR="00F76E3D" w:rsidRPr="00E022E3">
        <w:rPr>
          <w:rFonts w:cs="Arial"/>
          <w:spacing w:val="-3"/>
        </w:rPr>
        <w:t>Ampyra</w:t>
      </w:r>
      <w:r w:rsidR="00F76E3D" w:rsidRPr="00E022E3">
        <w:rPr>
          <w:rFonts w:cs="Arial"/>
          <w:spacing w:val="-3"/>
          <w:vertAlign w:val="superscript"/>
        </w:rPr>
        <w:t>®</w:t>
      </w:r>
      <w:r w:rsidR="00F76E3D" w:rsidRPr="00E022E3">
        <w:rPr>
          <w:rFonts w:cs="Arial"/>
          <w:spacing w:val="-3"/>
        </w:rPr>
        <w:t xml:space="preserve"> (dalfampridine)</w:t>
      </w:r>
      <w:r w:rsidR="00D47996">
        <w:t xml:space="preserve">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7ACECC9F" w14:textId="68322FE1" w:rsidR="00B56DCC" w:rsidRDefault="001F58D0" w:rsidP="00696E3A">
      <w:pPr>
        <w:rPr>
          <w:rFonts w:cs="Arial"/>
          <w:spacing w:val="-3"/>
        </w:rPr>
      </w:pPr>
      <w:r w:rsidRPr="00F84B74">
        <w:rPr>
          <w:rFonts w:cs="Arial"/>
          <w:spacing w:val="-3"/>
        </w:rPr>
        <w:t xml:space="preserve">Multiple </w:t>
      </w:r>
      <w:r>
        <w:rPr>
          <w:rFonts w:cs="Arial"/>
          <w:spacing w:val="-3"/>
        </w:rPr>
        <w:t>s</w:t>
      </w:r>
      <w:r w:rsidRPr="00F84B74">
        <w:rPr>
          <w:rFonts w:cs="Arial"/>
          <w:spacing w:val="-3"/>
        </w:rPr>
        <w:t>clerosis (MS) is an inflammatory demyelinating disease of the</w:t>
      </w:r>
      <w:r>
        <w:rPr>
          <w:rFonts w:cs="Arial"/>
          <w:spacing w:val="-3"/>
        </w:rPr>
        <w:t xml:space="preserve"> </w:t>
      </w:r>
      <w:r w:rsidRPr="00F84B74">
        <w:rPr>
          <w:rFonts w:cs="Arial"/>
          <w:spacing w:val="-3"/>
        </w:rPr>
        <w:t xml:space="preserve">central nervous system that </w:t>
      </w:r>
      <w:r>
        <w:rPr>
          <w:rFonts w:cs="Arial"/>
          <w:spacing w:val="-3"/>
        </w:rPr>
        <w:t>involves a disease course marked by periods of relapse, increasing functional impairment over time, and decreased quality of life. It</w:t>
      </w:r>
      <w:r w:rsidRPr="00F74538">
        <w:rPr>
          <w:rFonts w:cs="Arial"/>
          <w:spacing w:val="-3"/>
        </w:rPr>
        <w:t xml:space="preserve"> is an immune-mediated disorder of acute, repeated episodes of inflammation causing the destruction of the myelin sheath and axonal loss. </w:t>
      </w:r>
      <w:r>
        <w:rPr>
          <w:rFonts w:cs="Arial"/>
          <w:spacing w:val="-3"/>
        </w:rPr>
        <w:t>T</w:t>
      </w:r>
      <w:r w:rsidRPr="00F74538">
        <w:rPr>
          <w:rFonts w:cs="Arial"/>
          <w:spacing w:val="-3"/>
        </w:rPr>
        <w:t>his process leads to chronic multifocal sclerotic plaques and eventually, progressive neurological dysfunction.</w:t>
      </w:r>
      <w:r>
        <w:rPr>
          <w:rFonts w:cs="Arial"/>
          <w:spacing w:val="-3"/>
        </w:rPr>
        <w:t xml:space="preserve">  </w:t>
      </w:r>
      <w:r w:rsidRPr="00F74538">
        <w:rPr>
          <w:rFonts w:cs="Arial"/>
          <w:spacing w:val="-3"/>
        </w:rPr>
        <w:t xml:space="preserve">Multiple </w:t>
      </w:r>
      <w:r>
        <w:rPr>
          <w:rFonts w:cs="Arial"/>
          <w:spacing w:val="-3"/>
        </w:rPr>
        <w:t>s</w:t>
      </w:r>
      <w:r w:rsidRPr="00F74538">
        <w:rPr>
          <w:rFonts w:cs="Arial"/>
          <w:spacing w:val="-3"/>
        </w:rPr>
        <w:t>clerosis is the most common cause of neurological disability in young adults</w:t>
      </w:r>
      <w:r>
        <w:rPr>
          <w:rFonts w:cs="Arial"/>
          <w:spacing w:val="-3"/>
        </w:rPr>
        <w:t xml:space="preserve"> and</w:t>
      </w:r>
      <w:r w:rsidRPr="00F74538">
        <w:rPr>
          <w:rFonts w:cs="Arial"/>
          <w:spacing w:val="-3"/>
        </w:rPr>
        <w:t xml:space="preserve"> affects twice as many women as men, as is often observed in autoimmune diseases.</w:t>
      </w:r>
      <w:r>
        <w:rPr>
          <w:rFonts w:cs="Arial"/>
          <w:spacing w:val="-3"/>
        </w:rPr>
        <w:t xml:space="preserve">  Several </w:t>
      </w:r>
      <w:r w:rsidRPr="00F84B74">
        <w:rPr>
          <w:rFonts w:cs="Arial"/>
          <w:spacing w:val="-3"/>
        </w:rPr>
        <w:t xml:space="preserve">agents are </w:t>
      </w:r>
      <w:r>
        <w:rPr>
          <w:rFonts w:cs="Arial"/>
          <w:spacing w:val="-3"/>
        </w:rPr>
        <w:t xml:space="preserve">approved for use in MS </w:t>
      </w:r>
      <w:r w:rsidRPr="00F84B74">
        <w:rPr>
          <w:rFonts w:cs="Arial"/>
          <w:spacing w:val="-3"/>
        </w:rPr>
        <w:t>to reduce the</w:t>
      </w:r>
      <w:r>
        <w:rPr>
          <w:rFonts w:cs="Arial"/>
          <w:spacing w:val="-3"/>
        </w:rPr>
        <w:t xml:space="preserve"> </w:t>
      </w:r>
      <w:r w:rsidRPr="00F84B74">
        <w:rPr>
          <w:rFonts w:cs="Arial"/>
          <w:spacing w:val="-3"/>
        </w:rPr>
        <w:t>frequency of relapses and slow disease progression. Ampyra</w:t>
      </w:r>
      <w:r w:rsidRPr="005017A5">
        <w:rPr>
          <w:rFonts w:cs="Arial"/>
          <w:spacing w:val="-3"/>
          <w:vertAlign w:val="superscript"/>
        </w:rPr>
        <w:t>®</w:t>
      </w:r>
      <w:r>
        <w:rPr>
          <w:rFonts w:cs="Arial"/>
          <w:spacing w:val="-3"/>
        </w:rPr>
        <w:t xml:space="preserve">, FDA approved in 2010, </w:t>
      </w:r>
      <w:r w:rsidRPr="00F84B74">
        <w:rPr>
          <w:rFonts w:cs="Arial"/>
          <w:spacing w:val="-3"/>
        </w:rPr>
        <w:t>is a</w:t>
      </w:r>
      <w:r>
        <w:rPr>
          <w:rFonts w:cs="Arial"/>
          <w:spacing w:val="-3"/>
        </w:rPr>
        <w:t xml:space="preserve"> broad-spectrum </w:t>
      </w:r>
      <w:r w:rsidRPr="00F84B74">
        <w:rPr>
          <w:rFonts w:cs="Arial"/>
          <w:spacing w:val="-3"/>
        </w:rPr>
        <w:t>potassium channel blocker indicated as</w:t>
      </w:r>
      <w:r>
        <w:rPr>
          <w:rFonts w:cs="Arial"/>
          <w:spacing w:val="-3"/>
        </w:rPr>
        <w:t xml:space="preserve"> </w:t>
      </w:r>
      <w:r w:rsidRPr="00F84B74">
        <w:rPr>
          <w:rFonts w:cs="Arial"/>
          <w:spacing w:val="-3"/>
        </w:rPr>
        <w:t xml:space="preserve">a treatment to improve walking in </w:t>
      </w:r>
      <w:r>
        <w:rPr>
          <w:rFonts w:cs="Arial"/>
          <w:spacing w:val="-3"/>
        </w:rPr>
        <w:t>adults</w:t>
      </w:r>
      <w:r w:rsidRPr="00F84B74">
        <w:rPr>
          <w:rFonts w:cs="Arial"/>
          <w:spacing w:val="-3"/>
        </w:rPr>
        <w:t xml:space="preserve"> with MS, demonstrated by an</w:t>
      </w:r>
      <w:r>
        <w:rPr>
          <w:rFonts w:cs="Arial"/>
          <w:spacing w:val="-3"/>
        </w:rPr>
        <w:t xml:space="preserve"> </w:t>
      </w:r>
      <w:r w:rsidRPr="00F84B74">
        <w:rPr>
          <w:rFonts w:cs="Arial"/>
          <w:spacing w:val="-3"/>
        </w:rPr>
        <w:t>increase in walking speed.</w:t>
      </w:r>
      <w:r>
        <w:rPr>
          <w:rFonts w:cs="Arial"/>
          <w:spacing w:val="-3"/>
        </w:rPr>
        <w:t xml:space="preserve"> Ampyra is believed to increase conduction of action potentials in demyelinated axons through inhibition of potassium channels.  The agent comes with several warnings, including </w:t>
      </w:r>
      <w:proofErr w:type="gramStart"/>
      <w:r>
        <w:rPr>
          <w:rFonts w:cs="Arial"/>
          <w:spacing w:val="-3"/>
        </w:rPr>
        <w:t>a potential</w:t>
      </w:r>
      <w:proofErr w:type="gramEnd"/>
      <w:r>
        <w:rPr>
          <w:rFonts w:cs="Arial"/>
          <w:spacing w:val="-3"/>
        </w:rPr>
        <w:t xml:space="preserve"> to cause seizures.  </w:t>
      </w:r>
      <w:r w:rsidRPr="00A27730">
        <w:rPr>
          <w:rFonts w:cs="Arial"/>
          <w:spacing w:val="-3"/>
        </w:rPr>
        <w:t xml:space="preserve">Due to the possible adverse events and specific approved indications, MO HealthNet will impose clinical criteria to ensure appropriate utilization of </w:t>
      </w:r>
      <w:r>
        <w:rPr>
          <w:rFonts w:cs="Arial"/>
          <w:spacing w:val="-3"/>
        </w:rPr>
        <w:t>Ampyra</w:t>
      </w:r>
      <w:r w:rsidRPr="00A27730">
        <w:rPr>
          <w:rFonts w:cs="Arial"/>
          <w:spacing w:val="-3"/>
        </w:rPr>
        <w:t>.</w:t>
      </w:r>
    </w:p>
    <w:p w14:paraId="37A52D85" w14:textId="77777777" w:rsidR="001F58D0" w:rsidRDefault="001F58D0" w:rsidP="00696E3A"/>
    <w:p w14:paraId="5B5260CF" w14:textId="147F348A" w:rsidR="003D4704" w:rsidRPr="00AD17B7" w:rsidRDefault="003D4704" w:rsidP="003D4704">
      <w:r>
        <w:rPr>
          <w:b/>
          <w:bCs/>
        </w:rPr>
        <w:t xml:space="preserve">Program-Specific Information: </w:t>
      </w:r>
      <w:r>
        <w:t>Dat</w:t>
      </w:r>
      <w:r w:rsidR="00ED760F">
        <w:t>e</w:t>
      </w:r>
      <w:r>
        <w:t xml:space="preserve"> Ranges FFS </w:t>
      </w:r>
      <w:r w:rsidR="001F58D0">
        <w:t>4</w:t>
      </w:r>
      <w:r>
        <w:t>-1-202</w:t>
      </w:r>
      <w:r w:rsidR="001F58D0">
        <w:t>5</w:t>
      </w:r>
      <w:r>
        <w:t xml:space="preserve"> to </w:t>
      </w:r>
      <w:r w:rsidR="003660DC">
        <w:t>3-31</w:t>
      </w:r>
      <w:r>
        <w:t>-202</w:t>
      </w:r>
      <w:r w:rsidR="003660DC">
        <w:t>6</w:t>
      </w:r>
    </w:p>
    <w:tbl>
      <w:tblPr>
        <w:tblW w:w="8226" w:type="dxa"/>
        <w:jc w:val="center"/>
        <w:tblLayout w:type="fixed"/>
        <w:tblLook w:val="04A0" w:firstRow="1" w:lastRow="0" w:firstColumn="1" w:lastColumn="0" w:noHBand="0" w:noVBand="1"/>
      </w:tblPr>
      <w:tblGrid>
        <w:gridCol w:w="3506"/>
        <w:gridCol w:w="1112"/>
        <w:gridCol w:w="1329"/>
        <w:gridCol w:w="2279"/>
      </w:tblGrid>
      <w:tr w:rsidR="003D4704" w:rsidRPr="00902CF9" w14:paraId="7E639B47" w14:textId="77777777" w:rsidTr="001F3A35">
        <w:trPr>
          <w:trHeight w:val="232"/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258BA66" w14:textId="77777777" w:rsidR="003D4704" w:rsidRPr="00902CF9" w:rsidRDefault="003D4704" w:rsidP="001F3A35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902CF9">
              <w:rPr>
                <w:rFonts w:cs="Arial"/>
                <w:b/>
                <w:bCs/>
                <w:spacing w:val="-3"/>
                <w:szCs w:val="20"/>
              </w:rPr>
              <w:t>Drug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0F37C53" w14:textId="77777777" w:rsidR="003D4704" w:rsidRPr="00902CF9" w:rsidRDefault="003D4704" w:rsidP="001F3A35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902CF9">
              <w:rPr>
                <w:rFonts w:cs="Arial"/>
                <w:b/>
                <w:bCs/>
                <w:spacing w:val="-3"/>
                <w:szCs w:val="20"/>
              </w:rPr>
              <w:t>Claims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7F54882" w14:textId="77777777" w:rsidR="003D4704" w:rsidRPr="00902CF9" w:rsidRDefault="003D4704" w:rsidP="001F3A35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902CF9">
              <w:rPr>
                <w:rFonts w:cs="Arial"/>
                <w:b/>
                <w:bCs/>
                <w:spacing w:val="-3"/>
                <w:szCs w:val="20"/>
              </w:rPr>
              <w:t>Spend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7EB713A" w14:textId="77777777" w:rsidR="003D4704" w:rsidRPr="00902CF9" w:rsidRDefault="003D4704" w:rsidP="001F3A35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902CF9">
              <w:rPr>
                <w:rFonts w:cs="Arial"/>
                <w:b/>
                <w:spacing w:val="-3"/>
                <w:szCs w:val="20"/>
              </w:rPr>
              <w:t>Avg Spend per Claim</w:t>
            </w:r>
          </w:p>
        </w:tc>
      </w:tr>
      <w:tr w:rsidR="00157E89" w:rsidRPr="00902CF9" w14:paraId="29C2C6B5" w14:textId="77777777" w:rsidTr="00B77D10">
        <w:trPr>
          <w:trHeight w:val="232"/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F17F" w14:textId="2DFEB2FF" w:rsidR="00157E89" w:rsidRPr="00902CF9" w:rsidRDefault="00157E89" w:rsidP="00157E89">
            <w:pPr>
              <w:rPr>
                <w:rFonts w:cs="Arial"/>
                <w:szCs w:val="20"/>
              </w:rPr>
            </w:pPr>
            <w:r w:rsidRPr="00F04870">
              <w:rPr>
                <w:rFonts w:cs="Arial"/>
                <w:caps/>
                <w:spacing w:val="-3"/>
                <w:szCs w:val="20"/>
              </w:rPr>
              <w:t>Ampyra ER 10</w:t>
            </w:r>
            <w:r>
              <w:rPr>
                <w:rFonts w:cs="Arial"/>
                <w:caps/>
                <w:spacing w:val="-3"/>
                <w:szCs w:val="20"/>
              </w:rPr>
              <w:t xml:space="preserve"> </w:t>
            </w:r>
            <w:r w:rsidRPr="00F04870">
              <w:rPr>
                <w:rFonts w:cs="Arial"/>
                <w:caps/>
                <w:spacing w:val="-3"/>
                <w:szCs w:val="20"/>
              </w:rPr>
              <w:t>mg tablet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574F8" w14:textId="7687E660" w:rsidR="00157E89" w:rsidRPr="00902CF9" w:rsidRDefault="00157E89" w:rsidP="00B77D1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383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53425" w14:textId="00FD630F" w:rsidR="00157E89" w:rsidRPr="00902CF9" w:rsidRDefault="00157E89" w:rsidP="00B77D1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$13,513.04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E586B" w14:textId="5C88A6CC" w:rsidR="00157E89" w:rsidRPr="00902CF9" w:rsidRDefault="00157E89" w:rsidP="00B77D1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$35.28</w:t>
            </w:r>
          </w:p>
        </w:tc>
      </w:tr>
    </w:tbl>
    <w:p w14:paraId="4691DC98" w14:textId="77777777" w:rsidR="003D4704" w:rsidRDefault="003D4704" w:rsidP="003D4704">
      <w:pPr>
        <w:rPr>
          <w:rFonts w:cs="Arial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765F2A08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="001F5CB9">
        <w:rPr>
          <w:b/>
          <w:bCs/>
        </w:rPr>
        <w:t xml:space="preserve"> </w:t>
      </w:r>
      <w:r w:rsidR="001F5CB9" w:rsidRPr="00E022E3">
        <w:rPr>
          <w:rFonts w:cs="Arial"/>
          <w:szCs w:val="20"/>
        </w:rPr>
        <w:t>Ampyra</w:t>
      </w:r>
      <w:r w:rsidR="001F5CB9" w:rsidRPr="00E022E3">
        <w:rPr>
          <w:rFonts w:cs="Arial"/>
          <w:szCs w:val="20"/>
          <w:vertAlign w:val="superscript"/>
        </w:rPr>
        <w:t>®</w:t>
      </w:r>
      <w:r w:rsidR="001F5CB9" w:rsidRPr="00E022E3">
        <w:rPr>
          <w:rFonts w:cs="Arial"/>
          <w:szCs w:val="20"/>
        </w:rPr>
        <w:t xml:space="preserve"> (dalfampridine)</w:t>
      </w:r>
      <w:r w:rsidRPr="00C02553">
        <w:t xml:space="preserve"> 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4BAA1D7A" w14:textId="77777777" w:rsidR="00635DDB" w:rsidRPr="00696E3A" w:rsidRDefault="00635DDB" w:rsidP="00635DDB">
      <w:pPr>
        <w:rPr>
          <w:b/>
          <w:bCs/>
        </w:rPr>
      </w:pPr>
      <w:r w:rsidRPr="00696E3A">
        <w:rPr>
          <w:b/>
          <w:bCs/>
        </w:rPr>
        <w:t>Initial Therapy:</w:t>
      </w:r>
    </w:p>
    <w:p w14:paraId="7652F467" w14:textId="77777777" w:rsidR="00A95928" w:rsidRDefault="00A95928" w:rsidP="00A95928">
      <w:pPr>
        <w:pStyle w:val="ListParagraph"/>
        <w:numPr>
          <w:ilvl w:val="0"/>
          <w:numId w:val="1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Must meet </w:t>
      </w:r>
      <w:proofErr w:type="gramStart"/>
      <w:r>
        <w:rPr>
          <w:rFonts w:cs="Arial"/>
          <w:szCs w:val="20"/>
        </w:rPr>
        <w:t>all of</w:t>
      </w:r>
      <w:proofErr w:type="gramEnd"/>
      <w:r>
        <w:rPr>
          <w:rFonts w:cs="Arial"/>
          <w:szCs w:val="20"/>
        </w:rPr>
        <w:t xml:space="preserve"> the following:</w:t>
      </w:r>
    </w:p>
    <w:p w14:paraId="677713EB" w14:textId="77777777" w:rsidR="00A95928" w:rsidRPr="00A82848" w:rsidRDefault="00A95928" w:rsidP="00A95928">
      <w:pPr>
        <w:pStyle w:val="ListParagraph"/>
        <w:numPr>
          <w:ilvl w:val="1"/>
          <w:numId w:val="16"/>
        </w:numPr>
        <w:ind w:left="720"/>
        <w:rPr>
          <w:rFonts w:cs="Arial"/>
          <w:szCs w:val="20"/>
        </w:rPr>
      </w:pPr>
      <w:r w:rsidRPr="00A82848">
        <w:rPr>
          <w:rFonts w:cs="Arial"/>
          <w:szCs w:val="20"/>
        </w:rPr>
        <w:t xml:space="preserve">Documented diagnosis of </w:t>
      </w:r>
      <w:r w:rsidRPr="001B33A1">
        <w:rPr>
          <w:rFonts w:cs="Arial"/>
          <w:szCs w:val="20"/>
        </w:rPr>
        <w:t>Multiple Sclerosis</w:t>
      </w:r>
      <w:r>
        <w:rPr>
          <w:rFonts w:cs="Arial"/>
          <w:b/>
          <w:bCs/>
          <w:szCs w:val="20"/>
        </w:rPr>
        <w:t>.</w:t>
      </w:r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49E1F9FA" w14:textId="77777777" w:rsidR="00D36563" w:rsidRDefault="00D36563" w:rsidP="00D36563">
      <w:pPr>
        <w:pStyle w:val="ListParagraph"/>
        <w:numPr>
          <w:ilvl w:val="0"/>
          <w:numId w:val="17"/>
        </w:numPr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Therapy will deny with presence of one of the following:</w:t>
      </w:r>
    </w:p>
    <w:p w14:paraId="7D3FC668" w14:textId="77777777" w:rsidR="00D36563" w:rsidRDefault="00D36563" w:rsidP="00D36563">
      <w:pPr>
        <w:pStyle w:val="ListParagraph"/>
        <w:numPr>
          <w:ilvl w:val="1"/>
          <w:numId w:val="17"/>
        </w:numPr>
        <w:ind w:left="720"/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Any approval criteria are not met;</w:t>
      </w:r>
    </w:p>
    <w:p w14:paraId="12AB74C7" w14:textId="77777777" w:rsidR="00D36563" w:rsidRPr="00BE3D38" w:rsidRDefault="00D36563" w:rsidP="00D36563">
      <w:pPr>
        <w:pStyle w:val="ListParagraph"/>
        <w:numPr>
          <w:ilvl w:val="1"/>
          <w:numId w:val="17"/>
        </w:numPr>
        <w:ind w:left="720"/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lastRenderedPageBreak/>
        <w:t xml:space="preserve">Documented diagnosis of </w:t>
      </w:r>
      <w:r w:rsidRPr="00BE3D38">
        <w:rPr>
          <w:rFonts w:cs="Arial"/>
          <w:noProof/>
          <w:szCs w:val="20"/>
        </w:rPr>
        <w:t>seizure</w:t>
      </w:r>
      <w:r>
        <w:rPr>
          <w:rFonts w:cs="Arial"/>
          <w:noProof/>
          <w:szCs w:val="20"/>
        </w:rPr>
        <w:t>s;</w:t>
      </w:r>
    </w:p>
    <w:p w14:paraId="56ABA679" w14:textId="77777777" w:rsidR="00D36563" w:rsidRDefault="00D36563" w:rsidP="00D36563">
      <w:pPr>
        <w:pStyle w:val="ListParagraph"/>
        <w:numPr>
          <w:ilvl w:val="1"/>
          <w:numId w:val="17"/>
        </w:numPr>
        <w:ind w:left="720"/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Documented diagnosis of moderate to severe r</w:t>
      </w:r>
      <w:r w:rsidRPr="00BE3D38">
        <w:rPr>
          <w:rFonts w:cs="Arial"/>
          <w:noProof/>
          <w:szCs w:val="20"/>
        </w:rPr>
        <w:t xml:space="preserve">enal </w:t>
      </w:r>
      <w:r>
        <w:rPr>
          <w:rFonts w:cs="Arial"/>
          <w:noProof/>
          <w:szCs w:val="20"/>
        </w:rPr>
        <w:t>i</w:t>
      </w:r>
      <w:r w:rsidRPr="00BE3D38">
        <w:rPr>
          <w:rFonts w:cs="Arial"/>
          <w:noProof/>
          <w:szCs w:val="20"/>
        </w:rPr>
        <w:t>nsufficiency</w:t>
      </w:r>
      <w:r>
        <w:rPr>
          <w:rFonts w:cs="Arial"/>
          <w:noProof/>
          <w:szCs w:val="20"/>
        </w:rPr>
        <w:t xml:space="preserve">; </w:t>
      </w:r>
      <w:r w:rsidRPr="00900883">
        <w:rPr>
          <w:rFonts w:cs="Arial"/>
          <w:b/>
          <w:bCs/>
          <w:noProof/>
          <w:szCs w:val="20"/>
        </w:rPr>
        <w:t>OR</w:t>
      </w:r>
    </w:p>
    <w:p w14:paraId="121E41EF" w14:textId="77777777" w:rsidR="00D36563" w:rsidRPr="00900883" w:rsidRDefault="00D36563" w:rsidP="00D36563">
      <w:pPr>
        <w:pStyle w:val="ListParagraph"/>
        <w:numPr>
          <w:ilvl w:val="1"/>
          <w:numId w:val="17"/>
        </w:numPr>
        <w:ind w:left="720"/>
        <w:rPr>
          <w:rFonts w:cs="Arial"/>
          <w:noProof/>
          <w:szCs w:val="20"/>
        </w:rPr>
      </w:pPr>
      <w:r w:rsidRPr="00900883">
        <w:rPr>
          <w:rFonts w:cs="Arial"/>
        </w:rPr>
        <w:t>Claim exceeds maximum dosing limitation for the following:</w:t>
      </w:r>
    </w:p>
    <w:tbl>
      <w:tblPr>
        <w:tblStyle w:val="TableGrid"/>
        <w:tblW w:w="8640" w:type="dxa"/>
        <w:tblInd w:w="355" w:type="dxa"/>
        <w:tblLook w:val="04A0" w:firstRow="1" w:lastRow="0" w:firstColumn="1" w:lastColumn="0" w:noHBand="0" w:noVBand="1"/>
      </w:tblPr>
      <w:tblGrid>
        <w:gridCol w:w="3086"/>
        <w:gridCol w:w="2674"/>
        <w:gridCol w:w="2880"/>
      </w:tblGrid>
      <w:tr w:rsidR="00D36563" w:rsidRPr="00BE5FF0" w14:paraId="22474C81" w14:textId="77777777" w:rsidTr="00D36563">
        <w:tc>
          <w:tcPr>
            <w:tcW w:w="3086" w:type="dxa"/>
            <w:shd w:val="clear" w:color="auto" w:fill="FABF8F" w:themeFill="accent6" w:themeFillTint="99"/>
            <w:vAlign w:val="bottom"/>
          </w:tcPr>
          <w:p w14:paraId="2DD4165D" w14:textId="77777777" w:rsidR="00D36563" w:rsidRPr="00CC6CAE" w:rsidRDefault="00D36563" w:rsidP="00D941F6">
            <w:pPr>
              <w:rPr>
                <w:rFonts w:cs="Arial"/>
                <w:b/>
                <w:szCs w:val="20"/>
              </w:rPr>
            </w:pPr>
            <w:r w:rsidRPr="00CC6CAE">
              <w:rPr>
                <w:rFonts w:cs="Arial"/>
                <w:b/>
                <w:szCs w:val="20"/>
              </w:rPr>
              <w:t>Drug Description</w:t>
            </w:r>
          </w:p>
        </w:tc>
        <w:tc>
          <w:tcPr>
            <w:tcW w:w="2674" w:type="dxa"/>
            <w:shd w:val="clear" w:color="auto" w:fill="FABF8F" w:themeFill="accent6" w:themeFillTint="99"/>
            <w:vAlign w:val="bottom"/>
          </w:tcPr>
          <w:p w14:paraId="3C6AAB87" w14:textId="77777777" w:rsidR="00D36563" w:rsidRPr="00CC6CAE" w:rsidRDefault="00D36563" w:rsidP="00D941F6">
            <w:pPr>
              <w:rPr>
                <w:rFonts w:cs="Arial"/>
                <w:b/>
                <w:szCs w:val="20"/>
              </w:rPr>
            </w:pPr>
            <w:r w:rsidRPr="00CC6CAE">
              <w:rPr>
                <w:rFonts w:cs="Arial"/>
                <w:b/>
                <w:szCs w:val="20"/>
              </w:rPr>
              <w:t>Generic Equivalent</w:t>
            </w:r>
          </w:p>
        </w:tc>
        <w:tc>
          <w:tcPr>
            <w:tcW w:w="2880" w:type="dxa"/>
            <w:shd w:val="clear" w:color="auto" w:fill="FABF8F" w:themeFill="accent6" w:themeFillTint="99"/>
          </w:tcPr>
          <w:p w14:paraId="6343274B" w14:textId="77777777" w:rsidR="00D36563" w:rsidRPr="00CC6CAE" w:rsidRDefault="00D36563" w:rsidP="00D941F6">
            <w:pPr>
              <w:rPr>
                <w:rFonts w:cs="Arial"/>
                <w:b/>
                <w:szCs w:val="20"/>
              </w:rPr>
            </w:pPr>
            <w:r w:rsidRPr="00CC6CAE">
              <w:rPr>
                <w:rFonts w:cs="Arial"/>
                <w:b/>
                <w:szCs w:val="20"/>
              </w:rPr>
              <w:t>Max Dosing Limitation</w:t>
            </w:r>
          </w:p>
        </w:tc>
      </w:tr>
      <w:tr w:rsidR="00D36563" w:rsidRPr="00BE5FF0" w14:paraId="3F2D0D06" w14:textId="77777777" w:rsidTr="00D36563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EA5B1" w14:textId="77777777" w:rsidR="00D36563" w:rsidRPr="000B1195" w:rsidRDefault="00D36563" w:rsidP="00D941F6">
            <w:pPr>
              <w:rPr>
                <w:rFonts w:cs="Arial"/>
                <w:szCs w:val="20"/>
              </w:rPr>
            </w:pPr>
            <w:r w:rsidRPr="00F04870">
              <w:rPr>
                <w:rFonts w:cs="Arial"/>
                <w:caps/>
                <w:spacing w:val="-3"/>
                <w:szCs w:val="20"/>
              </w:rPr>
              <w:t>Ampyra ER 10mg tablet</w:t>
            </w:r>
          </w:p>
        </w:tc>
        <w:tc>
          <w:tcPr>
            <w:tcW w:w="2674" w:type="dxa"/>
            <w:vAlign w:val="bottom"/>
          </w:tcPr>
          <w:p w14:paraId="78372CF2" w14:textId="77777777" w:rsidR="00D36563" w:rsidRPr="00900883" w:rsidRDefault="00D36563" w:rsidP="00D941F6">
            <w:pPr>
              <w:rPr>
                <w:rFonts w:cs="Arial"/>
                <w:caps/>
                <w:szCs w:val="20"/>
              </w:rPr>
            </w:pPr>
            <w:r w:rsidRPr="00900883">
              <w:rPr>
                <w:rFonts w:cs="Arial"/>
                <w:caps/>
                <w:spacing w:val="-3"/>
                <w:szCs w:val="20"/>
              </w:rPr>
              <w:t>dalfampridine</w:t>
            </w:r>
          </w:p>
        </w:tc>
        <w:tc>
          <w:tcPr>
            <w:tcW w:w="2880" w:type="dxa"/>
            <w:vAlign w:val="bottom"/>
          </w:tcPr>
          <w:p w14:paraId="77C44236" w14:textId="77777777" w:rsidR="00D36563" w:rsidRPr="000B1195" w:rsidRDefault="00D36563" w:rsidP="00D941F6">
            <w:pPr>
              <w:rPr>
                <w:rFonts w:cs="Arial"/>
                <w:szCs w:val="20"/>
              </w:rPr>
            </w:pPr>
            <w:r w:rsidRPr="000B1195">
              <w:rPr>
                <w:rFonts w:cs="Arial"/>
                <w:szCs w:val="20"/>
              </w:rPr>
              <w:t xml:space="preserve">2 </w:t>
            </w:r>
            <w:r>
              <w:rPr>
                <w:rFonts w:cs="Arial"/>
                <w:szCs w:val="20"/>
              </w:rPr>
              <w:t>tablets</w:t>
            </w:r>
            <w:r w:rsidRPr="000B1195">
              <w:rPr>
                <w:rFonts w:cs="Arial"/>
                <w:szCs w:val="20"/>
              </w:rPr>
              <w:t xml:space="preserve"> per day</w:t>
            </w:r>
          </w:p>
        </w:tc>
      </w:tr>
    </w:tbl>
    <w:p w14:paraId="4D21EAF1" w14:textId="77777777" w:rsidR="001E4CBA" w:rsidRDefault="001E4CBA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0BD95161" w14:textId="77777777" w:rsidR="005F6104" w:rsidRPr="00C02553" w:rsidRDefault="005F6104" w:rsidP="005F6104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t>Disposition of Edit</w:t>
      </w:r>
    </w:p>
    <w:p w14:paraId="2B4EAF92" w14:textId="77777777" w:rsidR="005F6104" w:rsidRPr="00C02553" w:rsidRDefault="005F6104" w:rsidP="005F6104">
      <w:r w:rsidRPr="00696E3A">
        <w:rPr>
          <w:b/>
          <w:bCs/>
        </w:rPr>
        <w:t>Denial:</w:t>
      </w:r>
      <w:r w:rsidRPr="00C02553">
        <w:t xml:space="preserve"> </w:t>
      </w:r>
      <w:r w:rsidRPr="00CC6BDE">
        <w:t>Exception code “0682” (Clinical Edit)</w:t>
      </w:r>
    </w:p>
    <w:p w14:paraId="04B2330F" w14:textId="77777777" w:rsidR="005F6104" w:rsidRPr="00C02553" w:rsidRDefault="005F6104" w:rsidP="005F6104">
      <w:r w:rsidRPr="00696E3A">
        <w:rPr>
          <w:b/>
          <w:bCs/>
        </w:rPr>
        <w:t>Rule Type:</w:t>
      </w:r>
      <w:r w:rsidRPr="00C02553">
        <w:t xml:space="preserve"> </w:t>
      </w:r>
      <w:r>
        <w:t>CE</w:t>
      </w:r>
    </w:p>
    <w:p w14:paraId="5D43D3D3" w14:textId="5BBFBF7D" w:rsidR="00343D6B" w:rsidRPr="00C02553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  <w:r w:rsidR="00126B60">
        <w:t>1 year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1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546F2289" w14:textId="77777777" w:rsidR="00091D8B" w:rsidRPr="00560111" w:rsidRDefault="00091D8B" w:rsidP="00091D8B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cs="Arial"/>
          <w:szCs w:val="20"/>
        </w:rPr>
      </w:pPr>
      <w:r w:rsidRPr="00560111">
        <w:rPr>
          <w:rStyle w:val="normaltextrun"/>
          <w:rFonts w:cs="Arial"/>
          <w:szCs w:val="20"/>
          <w:shd w:val="clear" w:color="auto" w:fill="FFFFFF"/>
        </w:rPr>
        <w:t>AMPYRA</w:t>
      </w:r>
      <w:r w:rsidRPr="00314B4A">
        <w:rPr>
          <w:rStyle w:val="normaltextrun"/>
          <w:rFonts w:cs="Arial"/>
          <w:szCs w:val="20"/>
          <w:shd w:val="clear" w:color="auto" w:fill="FFFFFF"/>
          <w:vertAlign w:val="superscript"/>
        </w:rPr>
        <w:t xml:space="preserve">® </w:t>
      </w:r>
      <w:r w:rsidRPr="00560111">
        <w:rPr>
          <w:rStyle w:val="normaltextrun"/>
          <w:rFonts w:cs="Arial"/>
          <w:szCs w:val="20"/>
          <w:shd w:val="clear" w:color="auto" w:fill="FFFFFF"/>
        </w:rPr>
        <w:t>(dalfampridine) [package insert]. Ardsley, NY: Acorda Therapeutics, Inc.; </w:t>
      </w:r>
      <w:r>
        <w:rPr>
          <w:rStyle w:val="normaltextrun"/>
          <w:rFonts w:cs="Arial"/>
          <w:szCs w:val="20"/>
          <w:shd w:val="clear" w:color="auto" w:fill="FFFFFF"/>
        </w:rPr>
        <w:t>June 2022</w:t>
      </w:r>
      <w:r w:rsidRPr="00560111">
        <w:rPr>
          <w:rStyle w:val="normaltextrun"/>
          <w:rFonts w:cs="Arial"/>
          <w:szCs w:val="20"/>
          <w:shd w:val="clear" w:color="auto" w:fill="FFFFFF"/>
        </w:rPr>
        <w:t>.</w:t>
      </w:r>
    </w:p>
    <w:p w14:paraId="468CB983" w14:textId="77777777" w:rsidR="00091D8B" w:rsidRPr="00FE7DE0" w:rsidRDefault="00091D8B" w:rsidP="00091D8B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cs="Arial"/>
          <w:szCs w:val="20"/>
        </w:rPr>
      </w:pPr>
      <w:r w:rsidRPr="00FE7DE0">
        <w:rPr>
          <w:rStyle w:val="normaltextrun"/>
          <w:rFonts w:cs="Arial"/>
          <w:szCs w:val="20"/>
          <w:shd w:val="clear" w:color="auto" w:fill="FFFFFF"/>
        </w:rPr>
        <w:t xml:space="preserve">American Academy of Neurology.  Practice Guideline Systematic Review Summary: Disease-Modifying Therapies for Adults with Multiple Sclerosis.  </w:t>
      </w:r>
      <w:r w:rsidRPr="00763D07">
        <w:rPr>
          <w:rFonts w:cs="Arial"/>
          <w:szCs w:val="20"/>
        </w:rPr>
        <w:t>https://www.aan.com/Guidelines/home/GuidelineDetail/899</w:t>
      </w:r>
      <w:r w:rsidRPr="00FE7DE0">
        <w:rPr>
          <w:rStyle w:val="normaltextrun"/>
          <w:rFonts w:cs="Arial"/>
          <w:szCs w:val="20"/>
          <w:shd w:val="clear" w:color="auto" w:fill="FFFFFF"/>
        </w:rPr>
        <w:t>.  April 2018.</w:t>
      </w:r>
    </w:p>
    <w:p w14:paraId="1FB5A4F8" w14:textId="77777777" w:rsidR="00091D8B" w:rsidRPr="00FE7DE0" w:rsidRDefault="00091D8B" w:rsidP="00091D8B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cs="Arial"/>
          <w:szCs w:val="20"/>
        </w:rPr>
      </w:pPr>
      <w:r w:rsidRPr="00FE7DE0">
        <w:rPr>
          <w:rStyle w:val="normaltextrun"/>
          <w:rFonts w:cs="Arial"/>
          <w:szCs w:val="20"/>
          <w:shd w:val="clear" w:color="auto" w:fill="FFFFFF"/>
        </w:rPr>
        <w:t>Levin, Michael C.  Multiple Sclerosis (MS).</w:t>
      </w:r>
      <w:r>
        <w:rPr>
          <w:rStyle w:val="normaltextrun"/>
          <w:rFonts w:cs="Arial"/>
          <w:szCs w:val="20"/>
          <w:shd w:val="clear" w:color="auto" w:fill="FFFFFF"/>
        </w:rPr>
        <w:t xml:space="preserve">  </w:t>
      </w:r>
      <w:r w:rsidRPr="00B166AE">
        <w:rPr>
          <w:rFonts w:cs="Arial"/>
          <w:szCs w:val="20"/>
        </w:rPr>
        <w:t>https://www.merckmanuals.com/professional/neurologic-disorders/demyelinating-disorders/multiple-sclerosis-ms</w:t>
      </w:r>
      <w:r w:rsidRPr="00FE7DE0">
        <w:rPr>
          <w:rStyle w:val="normaltextrun"/>
          <w:rFonts w:cs="Arial"/>
          <w:szCs w:val="20"/>
          <w:shd w:val="clear" w:color="auto" w:fill="FFFFFF"/>
        </w:rPr>
        <w:t xml:space="preserve">.  </w:t>
      </w:r>
      <w:r>
        <w:rPr>
          <w:rStyle w:val="normaltextrun"/>
          <w:rFonts w:cs="Arial"/>
          <w:szCs w:val="20"/>
          <w:shd w:val="clear" w:color="auto" w:fill="FFFFFF"/>
        </w:rPr>
        <w:t>May</w:t>
      </w:r>
      <w:r w:rsidRPr="00FE7DE0">
        <w:rPr>
          <w:rStyle w:val="normaltextrun"/>
          <w:rFonts w:cs="Arial"/>
          <w:szCs w:val="20"/>
          <w:shd w:val="clear" w:color="auto" w:fill="FFFFFF"/>
        </w:rPr>
        <w:t xml:space="preserve"> 202</w:t>
      </w:r>
      <w:r>
        <w:rPr>
          <w:rStyle w:val="normaltextrun"/>
          <w:rFonts w:cs="Arial"/>
          <w:szCs w:val="20"/>
          <w:shd w:val="clear" w:color="auto" w:fill="FFFFFF"/>
        </w:rPr>
        <w:t>3</w:t>
      </w:r>
      <w:r w:rsidRPr="00FE7DE0">
        <w:rPr>
          <w:rStyle w:val="normaltextrun"/>
          <w:rFonts w:cs="Arial"/>
          <w:szCs w:val="20"/>
          <w:shd w:val="clear" w:color="auto" w:fill="FFFFFF"/>
        </w:rPr>
        <w:t>.</w:t>
      </w:r>
    </w:p>
    <w:p w14:paraId="1686716C" w14:textId="601C0A45" w:rsidR="00091D8B" w:rsidRPr="00560111" w:rsidRDefault="00091D8B" w:rsidP="00091D8B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cs="Arial"/>
          <w:szCs w:val="20"/>
        </w:rPr>
      </w:pPr>
      <w:r w:rsidRPr="00560111">
        <w:rPr>
          <w:rStyle w:val="normaltextrun"/>
          <w:rFonts w:cs="Arial"/>
          <w:szCs w:val="20"/>
          <w:shd w:val="clear" w:color="auto" w:fill="FFFFFF"/>
        </w:rPr>
        <w:t xml:space="preserve">IPD Analytics.  </w:t>
      </w:r>
      <w:r>
        <w:rPr>
          <w:rStyle w:val="normaltextrun"/>
          <w:rFonts w:cs="Arial"/>
          <w:szCs w:val="20"/>
          <w:shd w:val="clear" w:color="auto" w:fill="FFFFFF"/>
        </w:rPr>
        <w:t xml:space="preserve">CNS: Multiple Sclerosis.  Accessed </w:t>
      </w:r>
      <w:r w:rsidR="00713CBB">
        <w:rPr>
          <w:rStyle w:val="normaltextrun"/>
          <w:rFonts w:cs="Arial"/>
          <w:szCs w:val="20"/>
          <w:shd w:val="clear" w:color="auto" w:fill="FFFFFF"/>
        </w:rPr>
        <w:t>June 2</w:t>
      </w:r>
      <w:r>
        <w:rPr>
          <w:rStyle w:val="normaltextrun"/>
          <w:rFonts w:cs="Arial"/>
          <w:szCs w:val="20"/>
          <w:shd w:val="clear" w:color="auto" w:fill="FFFFFF"/>
        </w:rPr>
        <w:t>, 202</w:t>
      </w:r>
      <w:r w:rsidR="00713CBB">
        <w:rPr>
          <w:rStyle w:val="normaltextrun"/>
          <w:rFonts w:cs="Arial"/>
          <w:szCs w:val="20"/>
          <w:shd w:val="clear" w:color="auto" w:fill="FFFFFF"/>
        </w:rPr>
        <w:t>6</w:t>
      </w:r>
      <w:r>
        <w:rPr>
          <w:rStyle w:val="normaltextrun"/>
          <w:rFonts w:cs="Arial"/>
          <w:szCs w:val="20"/>
          <w:shd w:val="clear" w:color="auto" w:fill="FFFFFF"/>
        </w:rPr>
        <w:t>.</w:t>
      </w:r>
    </w:p>
    <w:p w14:paraId="3FA1E7DB" w14:textId="7E8877F6" w:rsidR="00777CA4" w:rsidRDefault="00777CA4" w:rsidP="00091D8B"/>
    <w:sectPr w:rsidR="00777CA4" w:rsidSect="00AB0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266A8" w14:textId="77777777" w:rsidR="00182CFC" w:rsidRPr="00C02553" w:rsidRDefault="00182CFC" w:rsidP="00AE77DB">
      <w:r w:rsidRPr="00C02553">
        <w:separator/>
      </w:r>
    </w:p>
  </w:endnote>
  <w:endnote w:type="continuationSeparator" w:id="0">
    <w:p w14:paraId="0E30CF7D" w14:textId="77777777" w:rsidR="00182CFC" w:rsidRPr="00C02553" w:rsidRDefault="00182CFC" w:rsidP="00AE77DB">
      <w:r w:rsidRPr="00C02553">
        <w:continuationSeparator/>
      </w:r>
    </w:p>
  </w:endnote>
  <w:endnote w:type="continuationNotice" w:id="1">
    <w:p w14:paraId="3C5B86ED" w14:textId="77777777" w:rsidR="00182CFC" w:rsidRPr="00C02553" w:rsidRDefault="00182C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Pr="00C02553">
      <w:rPr>
        <w:rFonts w:cs="Arial"/>
        <w:sz w:val="16"/>
        <w:szCs w:val="16"/>
      </w:rPr>
      <w:t xml:space="preserve">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58E4" w14:textId="77777777" w:rsidR="00182CFC" w:rsidRPr="00C02553" w:rsidRDefault="00182CFC" w:rsidP="00AE77DB">
      <w:r w:rsidRPr="00C02553">
        <w:separator/>
      </w:r>
    </w:p>
  </w:footnote>
  <w:footnote w:type="continuationSeparator" w:id="0">
    <w:p w14:paraId="7BB34873" w14:textId="77777777" w:rsidR="00182CFC" w:rsidRPr="00C02553" w:rsidRDefault="00182CFC" w:rsidP="00AE77DB">
      <w:r w:rsidRPr="00C02553">
        <w:continuationSeparator/>
      </w:r>
    </w:p>
  </w:footnote>
  <w:footnote w:type="continuationNotice" w:id="1">
    <w:p w14:paraId="275F748C" w14:textId="77777777" w:rsidR="00182CFC" w:rsidRPr="00C02553" w:rsidRDefault="00182C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2310E290" w:rsidR="00006A61" w:rsidRPr="00C02553" w:rsidRDefault="002154A5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259368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10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2C1D6ABF" w:rsidR="00596936" w:rsidRDefault="002154A5">
    <w:pPr>
      <w:pStyle w:val="Header"/>
    </w:pPr>
    <w:r>
      <w:rPr>
        <w:noProof/>
      </w:rPr>
      <w:pict w14:anchorId="7F2AE8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11" o:spid="_x0000_s1027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0CB9D10B" w:rsidR="00006A61" w:rsidRPr="00C02553" w:rsidRDefault="002154A5">
    <w:pPr>
      <w:pStyle w:val="Header"/>
      <w:rPr>
        <w:rFonts w:ascii="Times New Roman" w:hAnsi="Times New Roman"/>
      </w:rPr>
    </w:pPr>
    <w:r>
      <w:rPr>
        <w:noProof/>
      </w:rPr>
      <w:pict w14:anchorId="333ED6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09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AB0B9F" w:rsidRPr="00C02553">
      <w:rPr>
        <w:noProof/>
      </w:rPr>
      <w:drawing>
        <wp:anchor distT="0" distB="0" distL="114300" distR="114300" simplePos="0" relativeHeight="251666432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dec="http://schemas.microsoft.com/office/drawing/2017/decorativ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16BB3FF1"/>
    <w:multiLevelType w:val="hybridMultilevel"/>
    <w:tmpl w:val="7D000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32E36"/>
    <w:multiLevelType w:val="hybridMultilevel"/>
    <w:tmpl w:val="D8ACD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AB37B0"/>
    <w:multiLevelType w:val="hybridMultilevel"/>
    <w:tmpl w:val="356E1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064CF6"/>
    <w:multiLevelType w:val="hybridMultilevel"/>
    <w:tmpl w:val="CED69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7"/>
  </w:num>
  <w:num w:numId="3" w16cid:durableId="1729067566">
    <w:abstractNumId w:val="4"/>
  </w:num>
  <w:num w:numId="4" w16cid:durableId="320159068">
    <w:abstractNumId w:val="9"/>
  </w:num>
  <w:num w:numId="5" w16cid:durableId="1769498754">
    <w:abstractNumId w:val="3"/>
  </w:num>
  <w:num w:numId="6" w16cid:durableId="1094596320">
    <w:abstractNumId w:val="14"/>
  </w:num>
  <w:num w:numId="7" w16cid:durableId="2110008555">
    <w:abstractNumId w:val="2"/>
  </w:num>
  <w:num w:numId="8" w16cid:durableId="489712751">
    <w:abstractNumId w:val="8"/>
  </w:num>
  <w:num w:numId="9" w16cid:durableId="1085147965">
    <w:abstractNumId w:val="11"/>
  </w:num>
  <w:num w:numId="10" w16cid:durableId="917518096">
    <w:abstractNumId w:val="10"/>
  </w:num>
  <w:num w:numId="11" w16cid:durableId="1894998475">
    <w:abstractNumId w:val="1"/>
  </w:num>
  <w:num w:numId="12" w16cid:durableId="1418215296">
    <w:abstractNumId w:val="15"/>
  </w:num>
  <w:num w:numId="13" w16cid:durableId="604729665">
    <w:abstractNumId w:val="6"/>
  </w:num>
  <w:num w:numId="14" w16cid:durableId="1805081292">
    <w:abstractNumId w:val="12"/>
  </w:num>
  <w:num w:numId="15" w16cid:durableId="1911186802">
    <w:abstractNumId w:val="7"/>
  </w:num>
  <w:num w:numId="16" w16cid:durableId="2098862942">
    <w:abstractNumId w:val="13"/>
  </w:num>
  <w:num w:numId="17" w16cid:durableId="168763833">
    <w:abstractNumId w:val="16"/>
  </w:num>
  <w:num w:numId="18" w16cid:durableId="114551122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UFFAu9eN38kEVI19If0h71opKyiz4NK5rvx9y681tX2/WZlNBDhVuT/gsUKNGs12WBAGoXanzs2+NXfUgUE+ZQ==" w:salt="9WdUWdjNnRHU1l+bA2zODg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17CBA"/>
    <w:rsid w:val="000276D9"/>
    <w:rsid w:val="000344C5"/>
    <w:rsid w:val="00040AD3"/>
    <w:rsid w:val="00053807"/>
    <w:rsid w:val="000572E5"/>
    <w:rsid w:val="00061541"/>
    <w:rsid w:val="00064162"/>
    <w:rsid w:val="00065C22"/>
    <w:rsid w:val="00074464"/>
    <w:rsid w:val="00076030"/>
    <w:rsid w:val="00082590"/>
    <w:rsid w:val="000913C3"/>
    <w:rsid w:val="00091D8B"/>
    <w:rsid w:val="000953B9"/>
    <w:rsid w:val="000A2D17"/>
    <w:rsid w:val="000A413B"/>
    <w:rsid w:val="000A6279"/>
    <w:rsid w:val="000B496B"/>
    <w:rsid w:val="000C3940"/>
    <w:rsid w:val="000C5992"/>
    <w:rsid w:val="000E1479"/>
    <w:rsid w:val="000E231E"/>
    <w:rsid w:val="000E247D"/>
    <w:rsid w:val="000E6B14"/>
    <w:rsid w:val="000E70D8"/>
    <w:rsid w:val="001062F6"/>
    <w:rsid w:val="00112FC7"/>
    <w:rsid w:val="00125F5F"/>
    <w:rsid w:val="00126951"/>
    <w:rsid w:val="00126B60"/>
    <w:rsid w:val="00127EF6"/>
    <w:rsid w:val="001310AD"/>
    <w:rsid w:val="001314A5"/>
    <w:rsid w:val="00132C7F"/>
    <w:rsid w:val="00143A11"/>
    <w:rsid w:val="00144DBE"/>
    <w:rsid w:val="00152C8B"/>
    <w:rsid w:val="0015636A"/>
    <w:rsid w:val="00157E89"/>
    <w:rsid w:val="00172053"/>
    <w:rsid w:val="00177A80"/>
    <w:rsid w:val="001808B8"/>
    <w:rsid w:val="00182CFC"/>
    <w:rsid w:val="001A50CB"/>
    <w:rsid w:val="001A74B7"/>
    <w:rsid w:val="001B2D47"/>
    <w:rsid w:val="001B5F66"/>
    <w:rsid w:val="001C0250"/>
    <w:rsid w:val="001C6DA4"/>
    <w:rsid w:val="001C73B1"/>
    <w:rsid w:val="001D1E7D"/>
    <w:rsid w:val="001D504B"/>
    <w:rsid w:val="001D6567"/>
    <w:rsid w:val="001E2CCB"/>
    <w:rsid w:val="001E4CBA"/>
    <w:rsid w:val="001E523C"/>
    <w:rsid w:val="001E61DF"/>
    <w:rsid w:val="001F2B9F"/>
    <w:rsid w:val="001F3A35"/>
    <w:rsid w:val="001F58D0"/>
    <w:rsid w:val="001F5954"/>
    <w:rsid w:val="001F5CB9"/>
    <w:rsid w:val="00202DD3"/>
    <w:rsid w:val="00206E7D"/>
    <w:rsid w:val="002154A5"/>
    <w:rsid w:val="00217E14"/>
    <w:rsid w:val="00217EFD"/>
    <w:rsid w:val="00222134"/>
    <w:rsid w:val="0022233F"/>
    <w:rsid w:val="00226275"/>
    <w:rsid w:val="00246564"/>
    <w:rsid w:val="00246A3B"/>
    <w:rsid w:val="00250FBF"/>
    <w:rsid w:val="00255404"/>
    <w:rsid w:val="0025594F"/>
    <w:rsid w:val="00270C5E"/>
    <w:rsid w:val="00290A03"/>
    <w:rsid w:val="0029159A"/>
    <w:rsid w:val="00291600"/>
    <w:rsid w:val="00292EB7"/>
    <w:rsid w:val="002A02F4"/>
    <w:rsid w:val="002A0F52"/>
    <w:rsid w:val="002A79BC"/>
    <w:rsid w:val="002C2C41"/>
    <w:rsid w:val="002C62E7"/>
    <w:rsid w:val="002E05E2"/>
    <w:rsid w:val="002E2DD6"/>
    <w:rsid w:val="002E3F28"/>
    <w:rsid w:val="002E3F5B"/>
    <w:rsid w:val="002F0E52"/>
    <w:rsid w:val="002F2274"/>
    <w:rsid w:val="002F2405"/>
    <w:rsid w:val="002F690F"/>
    <w:rsid w:val="0030301F"/>
    <w:rsid w:val="00303B21"/>
    <w:rsid w:val="003105A5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0DD4"/>
    <w:rsid w:val="003345D2"/>
    <w:rsid w:val="003355AC"/>
    <w:rsid w:val="00343D6B"/>
    <w:rsid w:val="00346090"/>
    <w:rsid w:val="00347FB5"/>
    <w:rsid w:val="00355515"/>
    <w:rsid w:val="003608B5"/>
    <w:rsid w:val="003613AF"/>
    <w:rsid w:val="003660DC"/>
    <w:rsid w:val="003878C1"/>
    <w:rsid w:val="00396C0B"/>
    <w:rsid w:val="003A630F"/>
    <w:rsid w:val="003B3958"/>
    <w:rsid w:val="003B4820"/>
    <w:rsid w:val="003B5F4B"/>
    <w:rsid w:val="003B682F"/>
    <w:rsid w:val="003C53FC"/>
    <w:rsid w:val="003C7013"/>
    <w:rsid w:val="003D13B9"/>
    <w:rsid w:val="003D4704"/>
    <w:rsid w:val="003D641B"/>
    <w:rsid w:val="003F227C"/>
    <w:rsid w:val="004023CC"/>
    <w:rsid w:val="00407564"/>
    <w:rsid w:val="00411152"/>
    <w:rsid w:val="004156AA"/>
    <w:rsid w:val="004253A1"/>
    <w:rsid w:val="004313B6"/>
    <w:rsid w:val="00433339"/>
    <w:rsid w:val="00436159"/>
    <w:rsid w:val="00446BBC"/>
    <w:rsid w:val="004471BA"/>
    <w:rsid w:val="004472C0"/>
    <w:rsid w:val="00450705"/>
    <w:rsid w:val="00451928"/>
    <w:rsid w:val="00460B5D"/>
    <w:rsid w:val="0046618B"/>
    <w:rsid w:val="0048608C"/>
    <w:rsid w:val="00496E57"/>
    <w:rsid w:val="004A1EDD"/>
    <w:rsid w:val="004B3E10"/>
    <w:rsid w:val="004C0F5D"/>
    <w:rsid w:val="004C375A"/>
    <w:rsid w:val="004C4954"/>
    <w:rsid w:val="004C5767"/>
    <w:rsid w:val="004D0080"/>
    <w:rsid w:val="004D5322"/>
    <w:rsid w:val="004D78B0"/>
    <w:rsid w:val="004E611F"/>
    <w:rsid w:val="004F2A79"/>
    <w:rsid w:val="004F4D37"/>
    <w:rsid w:val="00501A14"/>
    <w:rsid w:val="00501DE3"/>
    <w:rsid w:val="005058CB"/>
    <w:rsid w:val="0051044D"/>
    <w:rsid w:val="005139E4"/>
    <w:rsid w:val="00515075"/>
    <w:rsid w:val="00516D12"/>
    <w:rsid w:val="00520FE9"/>
    <w:rsid w:val="005233E7"/>
    <w:rsid w:val="00526C8D"/>
    <w:rsid w:val="0053171D"/>
    <w:rsid w:val="005328B2"/>
    <w:rsid w:val="00535BD5"/>
    <w:rsid w:val="00540977"/>
    <w:rsid w:val="00551668"/>
    <w:rsid w:val="005572D5"/>
    <w:rsid w:val="00560227"/>
    <w:rsid w:val="00566BE4"/>
    <w:rsid w:val="00570D21"/>
    <w:rsid w:val="00576113"/>
    <w:rsid w:val="00590652"/>
    <w:rsid w:val="0059235F"/>
    <w:rsid w:val="00596936"/>
    <w:rsid w:val="005A2F1E"/>
    <w:rsid w:val="005A4232"/>
    <w:rsid w:val="005A4CB2"/>
    <w:rsid w:val="005C3616"/>
    <w:rsid w:val="005D36B2"/>
    <w:rsid w:val="005D52E7"/>
    <w:rsid w:val="005D78B5"/>
    <w:rsid w:val="005E3572"/>
    <w:rsid w:val="005E45E4"/>
    <w:rsid w:val="005F0A81"/>
    <w:rsid w:val="005F0FCF"/>
    <w:rsid w:val="005F6104"/>
    <w:rsid w:val="0060042F"/>
    <w:rsid w:val="006008BC"/>
    <w:rsid w:val="00602CFD"/>
    <w:rsid w:val="00606B55"/>
    <w:rsid w:val="00612A7B"/>
    <w:rsid w:val="00616E5E"/>
    <w:rsid w:val="006173A4"/>
    <w:rsid w:val="006205AD"/>
    <w:rsid w:val="00625C3A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77C65"/>
    <w:rsid w:val="00693152"/>
    <w:rsid w:val="00694FAE"/>
    <w:rsid w:val="00696E3A"/>
    <w:rsid w:val="006A0834"/>
    <w:rsid w:val="006A4BBD"/>
    <w:rsid w:val="006A52F1"/>
    <w:rsid w:val="006B561D"/>
    <w:rsid w:val="006B6D5D"/>
    <w:rsid w:val="006D2330"/>
    <w:rsid w:val="006E0F8B"/>
    <w:rsid w:val="006E12F7"/>
    <w:rsid w:val="006E29D7"/>
    <w:rsid w:val="007068A4"/>
    <w:rsid w:val="00706D67"/>
    <w:rsid w:val="00713052"/>
    <w:rsid w:val="00713CBB"/>
    <w:rsid w:val="00721367"/>
    <w:rsid w:val="007231FA"/>
    <w:rsid w:val="00732C67"/>
    <w:rsid w:val="00734418"/>
    <w:rsid w:val="00754F8E"/>
    <w:rsid w:val="00757826"/>
    <w:rsid w:val="00762B13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92DF0"/>
    <w:rsid w:val="0079438F"/>
    <w:rsid w:val="00797E66"/>
    <w:rsid w:val="007A3034"/>
    <w:rsid w:val="007A527E"/>
    <w:rsid w:val="007A53E7"/>
    <w:rsid w:val="007A78F7"/>
    <w:rsid w:val="007B3333"/>
    <w:rsid w:val="007B379F"/>
    <w:rsid w:val="007B37D6"/>
    <w:rsid w:val="007B5D30"/>
    <w:rsid w:val="007C0F86"/>
    <w:rsid w:val="007D2920"/>
    <w:rsid w:val="007D42DD"/>
    <w:rsid w:val="007E6A37"/>
    <w:rsid w:val="007F1774"/>
    <w:rsid w:val="007F593C"/>
    <w:rsid w:val="00811A70"/>
    <w:rsid w:val="0081406E"/>
    <w:rsid w:val="00832211"/>
    <w:rsid w:val="008325F4"/>
    <w:rsid w:val="00832AC8"/>
    <w:rsid w:val="00846FA4"/>
    <w:rsid w:val="008524BA"/>
    <w:rsid w:val="00852B74"/>
    <w:rsid w:val="00856928"/>
    <w:rsid w:val="00865538"/>
    <w:rsid w:val="00870875"/>
    <w:rsid w:val="0088225C"/>
    <w:rsid w:val="00884026"/>
    <w:rsid w:val="00884C78"/>
    <w:rsid w:val="008859E1"/>
    <w:rsid w:val="00885B3C"/>
    <w:rsid w:val="00896264"/>
    <w:rsid w:val="008A2549"/>
    <w:rsid w:val="008A5D88"/>
    <w:rsid w:val="008B2851"/>
    <w:rsid w:val="008C000E"/>
    <w:rsid w:val="008D0F2F"/>
    <w:rsid w:val="008D237F"/>
    <w:rsid w:val="008D3FD8"/>
    <w:rsid w:val="008D6B05"/>
    <w:rsid w:val="008E7D2D"/>
    <w:rsid w:val="008F44C0"/>
    <w:rsid w:val="008F5999"/>
    <w:rsid w:val="00903AD6"/>
    <w:rsid w:val="00904D7A"/>
    <w:rsid w:val="00915332"/>
    <w:rsid w:val="009204BB"/>
    <w:rsid w:val="00935918"/>
    <w:rsid w:val="00935EC3"/>
    <w:rsid w:val="00951097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84549"/>
    <w:rsid w:val="00985D28"/>
    <w:rsid w:val="00991BF0"/>
    <w:rsid w:val="00992EA3"/>
    <w:rsid w:val="009A0FB1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9F518A"/>
    <w:rsid w:val="00A02AF6"/>
    <w:rsid w:val="00A05B60"/>
    <w:rsid w:val="00A13266"/>
    <w:rsid w:val="00A14FA6"/>
    <w:rsid w:val="00A15D64"/>
    <w:rsid w:val="00A20575"/>
    <w:rsid w:val="00A32452"/>
    <w:rsid w:val="00A325CC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3BFD"/>
    <w:rsid w:val="00A66172"/>
    <w:rsid w:val="00A67916"/>
    <w:rsid w:val="00A744C3"/>
    <w:rsid w:val="00A80896"/>
    <w:rsid w:val="00A95928"/>
    <w:rsid w:val="00AA70AB"/>
    <w:rsid w:val="00AB0B9F"/>
    <w:rsid w:val="00AB1713"/>
    <w:rsid w:val="00AB63BE"/>
    <w:rsid w:val="00AC1EBC"/>
    <w:rsid w:val="00AC2599"/>
    <w:rsid w:val="00AC2DE9"/>
    <w:rsid w:val="00AC3CD9"/>
    <w:rsid w:val="00AD2C5F"/>
    <w:rsid w:val="00AE1481"/>
    <w:rsid w:val="00AE27F9"/>
    <w:rsid w:val="00AE77DB"/>
    <w:rsid w:val="00AF5A5F"/>
    <w:rsid w:val="00AF7453"/>
    <w:rsid w:val="00B00FFF"/>
    <w:rsid w:val="00B06084"/>
    <w:rsid w:val="00B07021"/>
    <w:rsid w:val="00B16735"/>
    <w:rsid w:val="00B17EDE"/>
    <w:rsid w:val="00B22585"/>
    <w:rsid w:val="00B33693"/>
    <w:rsid w:val="00B34C53"/>
    <w:rsid w:val="00B507A5"/>
    <w:rsid w:val="00B52475"/>
    <w:rsid w:val="00B535DA"/>
    <w:rsid w:val="00B56DCC"/>
    <w:rsid w:val="00B56F54"/>
    <w:rsid w:val="00B638C2"/>
    <w:rsid w:val="00B758AB"/>
    <w:rsid w:val="00B76277"/>
    <w:rsid w:val="00B772AB"/>
    <w:rsid w:val="00B77D10"/>
    <w:rsid w:val="00B80395"/>
    <w:rsid w:val="00B80B56"/>
    <w:rsid w:val="00B86372"/>
    <w:rsid w:val="00BA1C17"/>
    <w:rsid w:val="00BA1D65"/>
    <w:rsid w:val="00BB3B4D"/>
    <w:rsid w:val="00BC351E"/>
    <w:rsid w:val="00BC3F77"/>
    <w:rsid w:val="00BC5635"/>
    <w:rsid w:val="00BC5675"/>
    <w:rsid w:val="00BD081C"/>
    <w:rsid w:val="00BD277B"/>
    <w:rsid w:val="00BD47CA"/>
    <w:rsid w:val="00BD62C7"/>
    <w:rsid w:val="00BE020D"/>
    <w:rsid w:val="00BE354A"/>
    <w:rsid w:val="00BF5EEF"/>
    <w:rsid w:val="00C02553"/>
    <w:rsid w:val="00C04EB6"/>
    <w:rsid w:val="00C056F9"/>
    <w:rsid w:val="00C07A7B"/>
    <w:rsid w:val="00C1018C"/>
    <w:rsid w:val="00C1150E"/>
    <w:rsid w:val="00C14D52"/>
    <w:rsid w:val="00C2586C"/>
    <w:rsid w:val="00C26001"/>
    <w:rsid w:val="00C34E72"/>
    <w:rsid w:val="00C56B1F"/>
    <w:rsid w:val="00C61B52"/>
    <w:rsid w:val="00C62745"/>
    <w:rsid w:val="00C654CA"/>
    <w:rsid w:val="00C763BD"/>
    <w:rsid w:val="00C779A8"/>
    <w:rsid w:val="00C82E19"/>
    <w:rsid w:val="00C96873"/>
    <w:rsid w:val="00CA1735"/>
    <w:rsid w:val="00CA207E"/>
    <w:rsid w:val="00CA3C4B"/>
    <w:rsid w:val="00CA7252"/>
    <w:rsid w:val="00CB2C5A"/>
    <w:rsid w:val="00CE0C1C"/>
    <w:rsid w:val="00CE34AF"/>
    <w:rsid w:val="00CE4A1B"/>
    <w:rsid w:val="00CF00A4"/>
    <w:rsid w:val="00CF25FB"/>
    <w:rsid w:val="00CF614C"/>
    <w:rsid w:val="00D02F34"/>
    <w:rsid w:val="00D13D87"/>
    <w:rsid w:val="00D16590"/>
    <w:rsid w:val="00D20720"/>
    <w:rsid w:val="00D232D9"/>
    <w:rsid w:val="00D250D9"/>
    <w:rsid w:val="00D27533"/>
    <w:rsid w:val="00D36563"/>
    <w:rsid w:val="00D42DA3"/>
    <w:rsid w:val="00D4546D"/>
    <w:rsid w:val="00D47996"/>
    <w:rsid w:val="00D61118"/>
    <w:rsid w:val="00D614F1"/>
    <w:rsid w:val="00D70D50"/>
    <w:rsid w:val="00D71917"/>
    <w:rsid w:val="00D95E68"/>
    <w:rsid w:val="00DA3A0F"/>
    <w:rsid w:val="00DA4E62"/>
    <w:rsid w:val="00DA6990"/>
    <w:rsid w:val="00DB27BA"/>
    <w:rsid w:val="00DB3009"/>
    <w:rsid w:val="00DB337A"/>
    <w:rsid w:val="00DC034A"/>
    <w:rsid w:val="00DC09A9"/>
    <w:rsid w:val="00DC51CB"/>
    <w:rsid w:val="00DD4819"/>
    <w:rsid w:val="00DD4B8A"/>
    <w:rsid w:val="00DD5403"/>
    <w:rsid w:val="00DE1388"/>
    <w:rsid w:val="00DE7501"/>
    <w:rsid w:val="00DF3146"/>
    <w:rsid w:val="00DF57C3"/>
    <w:rsid w:val="00DF7A68"/>
    <w:rsid w:val="00E008D9"/>
    <w:rsid w:val="00E02FE0"/>
    <w:rsid w:val="00E07ABE"/>
    <w:rsid w:val="00E11A3F"/>
    <w:rsid w:val="00E1386E"/>
    <w:rsid w:val="00E2369B"/>
    <w:rsid w:val="00E23EC0"/>
    <w:rsid w:val="00E2517E"/>
    <w:rsid w:val="00E354AA"/>
    <w:rsid w:val="00E43D54"/>
    <w:rsid w:val="00E442FB"/>
    <w:rsid w:val="00E529DB"/>
    <w:rsid w:val="00E53A5E"/>
    <w:rsid w:val="00E6466A"/>
    <w:rsid w:val="00E72221"/>
    <w:rsid w:val="00E7461D"/>
    <w:rsid w:val="00E74C1D"/>
    <w:rsid w:val="00E81B96"/>
    <w:rsid w:val="00E83428"/>
    <w:rsid w:val="00E84C58"/>
    <w:rsid w:val="00E873A5"/>
    <w:rsid w:val="00E90D11"/>
    <w:rsid w:val="00E915E5"/>
    <w:rsid w:val="00EB0367"/>
    <w:rsid w:val="00EB4FB9"/>
    <w:rsid w:val="00EB5BC8"/>
    <w:rsid w:val="00EC2738"/>
    <w:rsid w:val="00ED760F"/>
    <w:rsid w:val="00ED7B42"/>
    <w:rsid w:val="00EE3EA5"/>
    <w:rsid w:val="00EE613F"/>
    <w:rsid w:val="00EE6BD1"/>
    <w:rsid w:val="00EF0262"/>
    <w:rsid w:val="00EF0828"/>
    <w:rsid w:val="00EF6F8B"/>
    <w:rsid w:val="00F03898"/>
    <w:rsid w:val="00F1527A"/>
    <w:rsid w:val="00F2696B"/>
    <w:rsid w:val="00F27821"/>
    <w:rsid w:val="00F4092A"/>
    <w:rsid w:val="00F41F69"/>
    <w:rsid w:val="00F43E41"/>
    <w:rsid w:val="00F4790C"/>
    <w:rsid w:val="00F50C4B"/>
    <w:rsid w:val="00F54C08"/>
    <w:rsid w:val="00F553A2"/>
    <w:rsid w:val="00F6068C"/>
    <w:rsid w:val="00F62F33"/>
    <w:rsid w:val="00F634C1"/>
    <w:rsid w:val="00F63A52"/>
    <w:rsid w:val="00F730BA"/>
    <w:rsid w:val="00F76E3D"/>
    <w:rsid w:val="00F87CCE"/>
    <w:rsid w:val="00F903BE"/>
    <w:rsid w:val="00F95D04"/>
    <w:rsid w:val="00FA16EC"/>
    <w:rsid w:val="00FA2811"/>
    <w:rsid w:val="00FA4837"/>
    <w:rsid w:val="00FB1954"/>
    <w:rsid w:val="00FB1D33"/>
    <w:rsid w:val="00FB5E96"/>
    <w:rsid w:val="00FC05A0"/>
    <w:rsid w:val="00FC6758"/>
    <w:rsid w:val="00FD34EA"/>
    <w:rsid w:val="00FE3F3E"/>
    <w:rsid w:val="00FE4D52"/>
    <w:rsid w:val="00FE5AEE"/>
    <w:rsid w:val="00FF106B"/>
    <w:rsid w:val="15EB50BA"/>
    <w:rsid w:val="3EE5225B"/>
    <w:rsid w:val="57511CC9"/>
    <w:rsid w:val="5D8F8430"/>
    <w:rsid w:val="60B9B224"/>
    <w:rsid w:val="79C8556E"/>
    <w:rsid w:val="79EEA449"/>
    <w:rsid w:val="7A07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2129BE48-D7C8-4C65-9B11-898CB537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link w:val="Heading1Char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9F518A"/>
    <w:rPr>
      <w:rFonts w:ascii="Arial" w:hAnsi="Arial" w:cs="Arial"/>
      <w:b/>
      <w:color w:val="595959"/>
      <w:sz w:val="40"/>
      <w:szCs w:val="40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E7461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1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7461D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1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769098-D068-4E1F-8C9C-A98BB3CA1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9992BC-7C11-4A83-A97F-D2E41AE80BFC}">
  <ds:schemaRefs>
    <ds:schemaRef ds:uri="http://purl.org/dc/elements/1.1/"/>
    <ds:schemaRef ds:uri="http://schemas.microsoft.com/office/2006/metadata/properties"/>
    <ds:schemaRef ds:uri="f5eefb00-5952-4f7e-8cf8-96f81cfadd01"/>
    <ds:schemaRef ds:uri="http://purl.org/dc/terms/"/>
    <ds:schemaRef ds:uri="http://schemas.microsoft.com/sharepoint/v3"/>
    <ds:schemaRef ds:uri="http://schemas.microsoft.com/office/2006/documentManagement/types"/>
    <ds:schemaRef ds:uri="aba01ddc-ae9a-4c9e-819c-7140b4239cde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420</Words>
  <Characters>2696</Characters>
  <Application>Microsoft Office Word</Application>
  <DocSecurity>10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Ampyra CE</vt:lpstr>
    </vt:vector>
  </TitlesOfParts>
  <Company>DSS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Ampyra CE</dc:title>
  <dc:subject/>
  <dc:creator>DMS</dc:creator>
  <cp:keywords/>
  <cp:lastModifiedBy>Heriford, Katherine</cp:lastModifiedBy>
  <cp:revision>38</cp:revision>
  <cp:lastPrinted>2018-10-31T18:17:00Z</cp:lastPrinted>
  <dcterms:created xsi:type="dcterms:W3CDTF">2025-11-19T15:39:00Z</dcterms:created>
  <dcterms:modified xsi:type="dcterms:W3CDTF">2026-07-06T17:16:00Z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