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7DABA6D" w:rsidR="004C5767" w:rsidRPr="00611E4A" w:rsidRDefault="004C5767" w:rsidP="00D27533">
      <w:pPr>
        <w:pStyle w:val="tbody"/>
        <w:rPr>
          <w:b w:val="0"/>
          <w:bCs/>
        </w:rPr>
      </w:pPr>
      <w:r w:rsidRPr="00C02553">
        <w:t>Drug/Drug Class:</w:t>
      </w:r>
      <w:r w:rsidR="003B4820">
        <w:t xml:space="preserve"> </w:t>
      </w:r>
      <w:r w:rsidR="00181793" w:rsidRPr="00181793">
        <w:rPr>
          <w:b w:val="0"/>
          <w:bCs/>
        </w:rPr>
        <w:t>Pompe Disease Clinical Edit</w:t>
      </w:r>
    </w:p>
    <w:p w14:paraId="7AD7FFCE" w14:textId="595DC0BB" w:rsidR="004C5767" w:rsidRPr="00611E4A" w:rsidRDefault="004C5767" w:rsidP="00D27533">
      <w:pPr>
        <w:pStyle w:val="tbody"/>
        <w:rPr>
          <w:b w:val="0"/>
          <w:bCs/>
        </w:rPr>
      </w:pPr>
      <w:r w:rsidRPr="00C02553">
        <w:t xml:space="preserve">First Implementation Date: </w:t>
      </w:r>
      <w:r w:rsidR="001A36BF" w:rsidRPr="001A36BF">
        <w:rPr>
          <w:b w:val="0"/>
          <w:bCs/>
        </w:rPr>
        <w:t>April 21, 2022</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CB7AB75" w:rsidR="004C5767" w:rsidRPr="00D27533" w:rsidRDefault="004C5767" w:rsidP="00D27533">
      <w:pPr>
        <w:pStyle w:val="tbody"/>
        <w:rPr>
          <w:b w:val="0"/>
          <w:bCs/>
          <w:spacing w:val="-3"/>
        </w:rPr>
      </w:pPr>
      <w:r w:rsidRPr="00C02553">
        <w:t xml:space="preserve">Criteria Status: </w:t>
      </w:r>
      <w:r w:rsidR="00566BE4" w:rsidRPr="00087E9B">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25D67AB1" w:rsidR="00D47996" w:rsidRDefault="79EEA449" w:rsidP="00696E3A">
      <w:r>
        <w:t>Ensure appropriate utilization and control of</w:t>
      </w:r>
      <w:r w:rsidR="001A36BF" w:rsidRPr="001A36BF">
        <w:rPr>
          <w:rFonts w:cs="Arial"/>
          <w:spacing w:val="-3"/>
        </w:rPr>
        <w:t xml:space="preserve"> </w:t>
      </w:r>
      <w:r w:rsidR="001A36BF">
        <w:rPr>
          <w:rFonts w:cs="Arial"/>
          <w:spacing w:val="-3"/>
        </w:rPr>
        <w:t xml:space="preserve">agents used for Pompe Disease. </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6F832B9" w14:textId="77777777" w:rsidR="001A36BF" w:rsidRDefault="001A36BF" w:rsidP="001A36BF">
      <w:r>
        <w:t>Pompe disease is a rare, genetic, lysosomal storage disease cause by a deficiency of the enzyme acid alpha-glucosidase (GAA), which is responsible for converting glycogen into glucose within the lysosomes. Deficiency of GAA results in lysosomal accumulation of glycogen in the skeletal, cardiac, and smooth muscles. Incidence is estimated at approximately 1 in 40,000 individuals in the United States. Pompe disease is classified as either infantile-onset (IOPD) or late-onset (LOPD). IOPD is characterized as complete or near-complete deficiency of GAA, while LOPD is characterized by partial deficiency of GAA. LOPD applies to all cases in which hypertrophic cardiomyopathy (HCM) did not manifest or was not diagnosed at or under 1 year of age, as well as all cases with symptom onset after 1 year of age.</w:t>
      </w:r>
    </w:p>
    <w:p w14:paraId="2ABED300" w14:textId="77777777" w:rsidR="001A36BF" w:rsidRDefault="001A36BF" w:rsidP="001A36BF"/>
    <w:p w14:paraId="75B18123" w14:textId="77777777" w:rsidR="001A36BF" w:rsidRDefault="001A36BF" w:rsidP="001A36BF">
      <w:r>
        <w:t xml:space="preserve">Approved by the FDA in May 2010, </w:t>
      </w:r>
      <w:proofErr w:type="spellStart"/>
      <w:r>
        <w:t>Lumizyme</w:t>
      </w:r>
      <w:proofErr w:type="spellEnd"/>
      <w:r w:rsidRPr="00411E3E">
        <w:rPr>
          <w:vertAlign w:val="superscript"/>
        </w:rPr>
        <w:t>®</w:t>
      </w:r>
      <w:r>
        <w:t xml:space="preserve"> (</w:t>
      </w:r>
      <w:proofErr w:type="spellStart"/>
      <w:r>
        <w:t>alglucosidase</w:t>
      </w:r>
      <w:proofErr w:type="spellEnd"/>
      <w:r>
        <w:t xml:space="preserve"> alfa) is indicated for patients with both infantile-onset and late-onset Pompe disease. </w:t>
      </w:r>
      <w:proofErr w:type="spellStart"/>
      <w:r>
        <w:t>Lumizyme</w:t>
      </w:r>
      <w:proofErr w:type="spellEnd"/>
      <w:r>
        <w:t xml:space="preserve"> is an exogenous source of GAA resulting in increased GAA enzymatic activity and glycogen cleavage. Treatment with </w:t>
      </w:r>
      <w:proofErr w:type="spellStart"/>
      <w:r>
        <w:t>Lumizyme</w:t>
      </w:r>
      <w:proofErr w:type="spellEnd"/>
      <w:r>
        <w:t xml:space="preserve"> is associated with prolonging life by improving cardiac, respiratory, and skeletal muscle function. </w:t>
      </w:r>
    </w:p>
    <w:p w14:paraId="35B40943" w14:textId="77777777" w:rsidR="001A36BF" w:rsidRDefault="001A36BF" w:rsidP="001A36BF"/>
    <w:p w14:paraId="56D41865" w14:textId="085D90B5" w:rsidR="001A36BF" w:rsidRDefault="001A36BF" w:rsidP="001A36BF">
      <w:r>
        <w:t xml:space="preserve">FDA approved in August 2021, </w:t>
      </w:r>
      <w:proofErr w:type="spellStart"/>
      <w:r>
        <w:t>Nexviazyme</w:t>
      </w:r>
      <w:proofErr w:type="spellEnd"/>
      <w:r w:rsidR="003C5714" w:rsidRPr="00BB11AA">
        <w:rPr>
          <w:vertAlign w:val="superscript"/>
        </w:rPr>
        <w:t>®</w:t>
      </w:r>
      <w:r>
        <w:t xml:space="preserve"> (</w:t>
      </w:r>
      <w:proofErr w:type="spellStart"/>
      <w:r>
        <w:t>avalglucosidase</w:t>
      </w:r>
      <w:proofErr w:type="spellEnd"/>
      <w:r>
        <w:t xml:space="preserve"> alfa-</w:t>
      </w:r>
      <w:proofErr w:type="spellStart"/>
      <w:r>
        <w:t>ngpt</w:t>
      </w:r>
      <w:proofErr w:type="spellEnd"/>
      <w:r>
        <w:t xml:space="preserve">) is indicated for the treatment of patients 1 year of age and older with LOPD. </w:t>
      </w:r>
      <w:proofErr w:type="spellStart"/>
      <w:r>
        <w:t>Nexviazyme</w:t>
      </w:r>
      <w:proofErr w:type="spellEnd"/>
      <w:r>
        <w:t xml:space="preserve"> is an exogenous source of GAA and binds to M6P receptors on the cell surface; it is then internalized and transported into lysosomes where it undergoes proteolytic cleavage that results in increased GAA enzymatic activity and glycogen cleavage. </w:t>
      </w:r>
    </w:p>
    <w:p w14:paraId="21B8B85B" w14:textId="77777777" w:rsidR="001A36BF" w:rsidRDefault="001A36BF" w:rsidP="001A36BF"/>
    <w:p w14:paraId="4685307B" w14:textId="7B1541C8" w:rsidR="001A36BF" w:rsidRDefault="001A36BF" w:rsidP="001A36BF">
      <w:r>
        <w:t xml:space="preserve">In September 2023, the FDA approved </w:t>
      </w:r>
      <w:proofErr w:type="spellStart"/>
      <w:r>
        <w:t>Pombiliti</w:t>
      </w:r>
      <w:proofErr w:type="spellEnd"/>
      <w:r w:rsidR="003C5714" w:rsidRPr="00BB11AA">
        <w:rPr>
          <w:vertAlign w:val="superscript"/>
        </w:rPr>
        <w:t>®</w:t>
      </w:r>
      <w:r>
        <w:t xml:space="preserve"> (</w:t>
      </w:r>
      <w:proofErr w:type="spellStart"/>
      <w:r>
        <w:t>cipaglucosidase</w:t>
      </w:r>
      <w:proofErr w:type="spellEnd"/>
      <w:r>
        <w:t xml:space="preserve"> alfa-</w:t>
      </w:r>
      <w:proofErr w:type="spellStart"/>
      <w:r>
        <w:t>atga</w:t>
      </w:r>
      <w:proofErr w:type="spellEnd"/>
      <w:r>
        <w:t xml:space="preserve">) and </w:t>
      </w:r>
      <w:proofErr w:type="spellStart"/>
      <w:r>
        <w:t>Opfolda</w:t>
      </w:r>
      <w:proofErr w:type="spellEnd"/>
      <w:r w:rsidR="003C5714" w:rsidRPr="00BB11AA">
        <w:rPr>
          <w:vertAlign w:val="superscript"/>
        </w:rPr>
        <w:t>®</w:t>
      </w:r>
      <w:r>
        <w:t xml:space="preserve"> (</w:t>
      </w:r>
      <w:proofErr w:type="spellStart"/>
      <w:r>
        <w:t>miglustat</w:t>
      </w:r>
      <w:proofErr w:type="spellEnd"/>
      <w:r>
        <w:t>) for the treatment of adults with LOPD who weigh ≥</w:t>
      </w:r>
      <w:r w:rsidR="00584BFA">
        <w:t xml:space="preserve"> </w:t>
      </w:r>
      <w:r>
        <w:t xml:space="preserve">40 kg and are not improving on their current ERT. </w:t>
      </w:r>
      <w:proofErr w:type="spellStart"/>
      <w:r>
        <w:t>Pombiliti</w:t>
      </w:r>
      <w:proofErr w:type="spellEnd"/>
      <w:r>
        <w:t xml:space="preserve">, an intravenous ERT, and </w:t>
      </w:r>
      <w:proofErr w:type="spellStart"/>
      <w:r>
        <w:t>Opfolda</w:t>
      </w:r>
      <w:proofErr w:type="spellEnd"/>
      <w:r>
        <w:t xml:space="preserve">, an oral enzyme stabilizer, are approved for use in combination only. </w:t>
      </w:r>
    </w:p>
    <w:p w14:paraId="7EA1CC13" w14:textId="77777777" w:rsidR="001A36BF" w:rsidRDefault="001A36BF" w:rsidP="001A36BF"/>
    <w:p w14:paraId="7ACECC9F" w14:textId="2138B7D8" w:rsidR="00B56DCC" w:rsidRDefault="001A36BF" w:rsidP="001A36BF">
      <w:r>
        <w:t>Due to the high cost and specific approved indications, MO HealthNet will impose clinical criteria to ensure appropriate utilization of agents for Pompe disease.</w:t>
      </w:r>
    </w:p>
    <w:p w14:paraId="2D873A3C" w14:textId="77777777" w:rsidR="001A36BF" w:rsidRDefault="001A36BF" w:rsidP="001A36BF"/>
    <w:p w14:paraId="5B5260CF" w14:textId="41D45755" w:rsidR="003D4704" w:rsidRPr="00AD17B7" w:rsidRDefault="003D4704" w:rsidP="003D4704">
      <w:r>
        <w:rPr>
          <w:b/>
          <w:bCs/>
        </w:rPr>
        <w:t xml:space="preserve">Program-Specific Information: </w:t>
      </w:r>
      <w:r>
        <w:t>Dat</w:t>
      </w:r>
      <w:r w:rsidR="00ED760F">
        <w:t>e</w:t>
      </w:r>
      <w:r>
        <w:t xml:space="preserve"> Range FFS </w:t>
      </w:r>
      <w:r w:rsidR="00B81482">
        <w:t>1</w:t>
      </w:r>
      <w:r>
        <w:t>-1-202</w:t>
      </w:r>
      <w:r w:rsidR="00B81482">
        <w:t>5</w:t>
      </w:r>
      <w:r>
        <w:t xml:space="preserve"> to </w:t>
      </w:r>
      <w:r w:rsidR="00B81482">
        <w:t>12</w:t>
      </w:r>
      <w:r>
        <w:t>-3</w:t>
      </w:r>
      <w:r w:rsidR="00B81482">
        <w:t>1</w:t>
      </w:r>
      <w:r>
        <w:t>-2025</w:t>
      </w:r>
    </w:p>
    <w:tbl>
      <w:tblPr>
        <w:tblW w:w="9810" w:type="dxa"/>
        <w:jc w:val="center"/>
        <w:tblLayout w:type="fixed"/>
        <w:tblLook w:val="04A0" w:firstRow="1" w:lastRow="0" w:firstColumn="1" w:lastColumn="0" w:noHBand="0" w:noVBand="1"/>
      </w:tblPr>
      <w:tblGrid>
        <w:gridCol w:w="2681"/>
        <w:gridCol w:w="1784"/>
        <w:gridCol w:w="1226"/>
        <w:gridCol w:w="2007"/>
        <w:gridCol w:w="2112"/>
      </w:tblGrid>
      <w:tr w:rsidR="001A36BF" w:rsidRPr="0098231C" w14:paraId="5B930902" w14:textId="77777777" w:rsidTr="00EF5E54">
        <w:trPr>
          <w:trHeight w:val="165"/>
          <w:jc w:val="center"/>
        </w:trPr>
        <w:tc>
          <w:tcPr>
            <w:tcW w:w="268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041E5C8" w14:textId="77777777" w:rsidR="001A36BF" w:rsidRPr="003C1F0E" w:rsidRDefault="001A36BF" w:rsidP="00FA4C03">
            <w:pPr>
              <w:jc w:val="center"/>
              <w:rPr>
                <w:rFonts w:cs="Arial"/>
                <w:b/>
                <w:spacing w:val="-3"/>
                <w:szCs w:val="20"/>
              </w:rPr>
            </w:pPr>
            <w:r w:rsidRPr="003C1F0E">
              <w:rPr>
                <w:rFonts w:cs="Arial"/>
                <w:b/>
                <w:spacing w:val="-3"/>
                <w:szCs w:val="20"/>
              </w:rPr>
              <w:t>Drug</w:t>
            </w:r>
          </w:p>
        </w:tc>
        <w:tc>
          <w:tcPr>
            <w:tcW w:w="178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B18F5A2" w14:textId="77777777" w:rsidR="001A36BF" w:rsidRPr="003C1F0E" w:rsidRDefault="001A36BF" w:rsidP="00FA4C03">
            <w:pPr>
              <w:jc w:val="center"/>
              <w:rPr>
                <w:rFonts w:cs="Arial"/>
                <w:b/>
                <w:spacing w:val="-3"/>
                <w:szCs w:val="20"/>
              </w:rPr>
            </w:pPr>
            <w:r>
              <w:rPr>
                <w:rFonts w:cs="Arial"/>
                <w:b/>
                <w:spacing w:val="-3"/>
                <w:szCs w:val="20"/>
              </w:rPr>
              <w:t>Participants</w:t>
            </w:r>
          </w:p>
        </w:tc>
        <w:tc>
          <w:tcPr>
            <w:tcW w:w="122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9428BC" w14:textId="77777777" w:rsidR="001A36BF" w:rsidRPr="003C1F0E" w:rsidRDefault="001A36BF" w:rsidP="00FA4C03">
            <w:pPr>
              <w:jc w:val="center"/>
              <w:rPr>
                <w:rFonts w:cs="Arial"/>
                <w:b/>
                <w:spacing w:val="-3"/>
                <w:szCs w:val="20"/>
              </w:rPr>
            </w:pPr>
            <w:r w:rsidRPr="003C1F0E">
              <w:rPr>
                <w:rFonts w:cs="Arial"/>
                <w:b/>
                <w:spacing w:val="-3"/>
                <w:szCs w:val="20"/>
              </w:rPr>
              <w:t>Claims</w:t>
            </w:r>
          </w:p>
        </w:tc>
        <w:tc>
          <w:tcPr>
            <w:tcW w:w="200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9EB88E4" w14:textId="77777777" w:rsidR="001A36BF" w:rsidRPr="0044508E" w:rsidRDefault="001A36BF" w:rsidP="00FA4C03">
            <w:pPr>
              <w:jc w:val="center"/>
              <w:rPr>
                <w:rFonts w:cs="Arial"/>
                <w:b/>
                <w:spacing w:val="-3"/>
                <w:szCs w:val="20"/>
              </w:rPr>
            </w:pPr>
            <w:r w:rsidRPr="0044508E">
              <w:rPr>
                <w:rFonts w:cs="Arial"/>
                <w:b/>
                <w:spacing w:val="-3"/>
                <w:szCs w:val="20"/>
              </w:rPr>
              <w:t>Spend</w:t>
            </w:r>
          </w:p>
        </w:tc>
        <w:tc>
          <w:tcPr>
            <w:tcW w:w="2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tcPr>
          <w:p w14:paraId="6BEF6F70" w14:textId="77777777" w:rsidR="001A36BF" w:rsidRPr="0098231C" w:rsidRDefault="001A36BF" w:rsidP="00FA4C03">
            <w:pPr>
              <w:jc w:val="center"/>
              <w:rPr>
                <w:rFonts w:cs="Arial"/>
                <w:b/>
                <w:bCs/>
                <w:spacing w:val="-3"/>
                <w:szCs w:val="20"/>
                <w:highlight w:val="yellow"/>
                <w:vertAlign w:val="superscript"/>
              </w:rPr>
            </w:pPr>
            <w:r w:rsidRPr="0098231C">
              <w:rPr>
                <w:rFonts w:cs="Arial"/>
                <w:b/>
                <w:bCs/>
                <w:szCs w:val="20"/>
              </w:rPr>
              <w:t xml:space="preserve">Average </w:t>
            </w:r>
            <w:r>
              <w:rPr>
                <w:rFonts w:cs="Arial"/>
                <w:b/>
                <w:bCs/>
                <w:szCs w:val="20"/>
              </w:rPr>
              <w:t>Spend per Claim</w:t>
            </w:r>
          </w:p>
        </w:tc>
      </w:tr>
      <w:tr w:rsidR="00EF5E54" w:rsidRPr="00073F20" w14:paraId="71471D7E" w14:textId="77777777" w:rsidTr="00120998">
        <w:trPr>
          <w:trHeight w:val="162"/>
          <w:jc w:val="center"/>
        </w:trPr>
        <w:tc>
          <w:tcPr>
            <w:tcW w:w="2681" w:type="dxa"/>
            <w:tcBorders>
              <w:top w:val="single" w:sz="4" w:space="0" w:color="auto"/>
              <w:left w:val="single" w:sz="4" w:space="0" w:color="auto"/>
              <w:bottom w:val="single" w:sz="4" w:space="0" w:color="auto"/>
              <w:right w:val="single" w:sz="4" w:space="0" w:color="auto"/>
            </w:tcBorders>
            <w:vAlign w:val="center"/>
          </w:tcPr>
          <w:p w14:paraId="32CD6C2B" w14:textId="77777777" w:rsidR="00EF5E54" w:rsidRPr="003C1F0E" w:rsidRDefault="00EF5E54" w:rsidP="00EF5E54">
            <w:pPr>
              <w:rPr>
                <w:rFonts w:cs="Arial"/>
                <w:spacing w:val="-3"/>
                <w:szCs w:val="20"/>
              </w:rPr>
            </w:pPr>
            <w:r w:rsidRPr="003C1F0E">
              <w:rPr>
                <w:rFonts w:cs="Arial"/>
                <w:spacing w:val="-3"/>
                <w:szCs w:val="20"/>
              </w:rPr>
              <w:t>LUMIZYME 50 MG/VIAL</w:t>
            </w:r>
          </w:p>
        </w:tc>
        <w:tc>
          <w:tcPr>
            <w:tcW w:w="1784" w:type="dxa"/>
            <w:tcBorders>
              <w:top w:val="single" w:sz="4" w:space="0" w:color="auto"/>
              <w:left w:val="single" w:sz="4" w:space="0" w:color="auto"/>
              <w:bottom w:val="single" w:sz="4" w:space="0" w:color="auto"/>
              <w:right w:val="single" w:sz="4" w:space="0" w:color="auto"/>
            </w:tcBorders>
            <w:vAlign w:val="center"/>
          </w:tcPr>
          <w:p w14:paraId="0DBB6A51" w14:textId="33A9066E" w:rsidR="00EF5E54" w:rsidRPr="00D83498" w:rsidRDefault="004D63BC" w:rsidP="00EF5E54">
            <w:pPr>
              <w:jc w:val="center"/>
              <w:rPr>
                <w:rFonts w:cs="Arial"/>
                <w:spacing w:val="-3"/>
                <w:szCs w:val="20"/>
              </w:rPr>
            </w:pPr>
            <w:r>
              <w:rPr>
                <w:rFonts w:cs="Arial"/>
                <w:spacing w:val="-3"/>
                <w:szCs w:val="20"/>
              </w:rPr>
              <w:t>6</w:t>
            </w:r>
          </w:p>
        </w:tc>
        <w:tc>
          <w:tcPr>
            <w:tcW w:w="1226" w:type="dxa"/>
            <w:tcBorders>
              <w:top w:val="single" w:sz="4" w:space="0" w:color="auto"/>
              <w:left w:val="single" w:sz="4" w:space="0" w:color="auto"/>
              <w:bottom w:val="single" w:sz="4" w:space="0" w:color="auto"/>
              <w:right w:val="single" w:sz="4" w:space="0" w:color="auto"/>
            </w:tcBorders>
            <w:vAlign w:val="center"/>
          </w:tcPr>
          <w:p w14:paraId="69EA5DD8" w14:textId="459D1651" w:rsidR="00EF5E54" w:rsidRPr="00073F20" w:rsidRDefault="00EF5E54" w:rsidP="00EF5E54">
            <w:pPr>
              <w:jc w:val="center"/>
              <w:rPr>
                <w:rFonts w:cs="Arial"/>
                <w:b/>
                <w:bCs/>
                <w:spacing w:val="-3"/>
                <w:szCs w:val="20"/>
              </w:rPr>
            </w:pPr>
            <w:r>
              <w:rPr>
                <w:rFonts w:cs="Arial"/>
                <w:szCs w:val="20"/>
              </w:rPr>
              <w:t>89</w:t>
            </w:r>
          </w:p>
        </w:tc>
        <w:tc>
          <w:tcPr>
            <w:tcW w:w="2007" w:type="dxa"/>
            <w:tcBorders>
              <w:top w:val="single" w:sz="4" w:space="0" w:color="auto"/>
              <w:left w:val="single" w:sz="4" w:space="0" w:color="auto"/>
              <w:bottom w:val="single" w:sz="4" w:space="0" w:color="auto"/>
              <w:right w:val="single" w:sz="4" w:space="0" w:color="auto"/>
            </w:tcBorders>
            <w:vAlign w:val="center"/>
          </w:tcPr>
          <w:p w14:paraId="5F1F1F0D" w14:textId="34643057" w:rsidR="00EF5E54" w:rsidRPr="00073F20" w:rsidRDefault="00EF5E54" w:rsidP="00EF5E54">
            <w:pPr>
              <w:jc w:val="center"/>
              <w:rPr>
                <w:rFonts w:cs="Arial"/>
                <w:b/>
                <w:bCs/>
                <w:spacing w:val="-3"/>
                <w:szCs w:val="20"/>
              </w:rPr>
            </w:pPr>
            <w:r>
              <w:rPr>
                <w:rFonts w:cs="Arial"/>
                <w:szCs w:val="20"/>
              </w:rPr>
              <w:t>$2,586,248.65</w:t>
            </w:r>
          </w:p>
        </w:tc>
        <w:tc>
          <w:tcPr>
            <w:tcW w:w="2112" w:type="dxa"/>
            <w:tcBorders>
              <w:top w:val="single" w:sz="4" w:space="0" w:color="auto"/>
              <w:left w:val="single" w:sz="4" w:space="0" w:color="auto"/>
              <w:bottom w:val="single" w:sz="4" w:space="0" w:color="auto"/>
              <w:right w:val="single" w:sz="4" w:space="0" w:color="auto"/>
            </w:tcBorders>
            <w:vAlign w:val="center"/>
          </w:tcPr>
          <w:p w14:paraId="47F73207" w14:textId="360EC58D" w:rsidR="00EF5E54" w:rsidRPr="00073F20" w:rsidRDefault="00EF5E54" w:rsidP="00EF5E54">
            <w:pPr>
              <w:jc w:val="center"/>
              <w:rPr>
                <w:rFonts w:cs="Arial"/>
                <w:b/>
                <w:bCs/>
                <w:spacing w:val="-3"/>
                <w:szCs w:val="20"/>
                <w:highlight w:val="yellow"/>
              </w:rPr>
            </w:pPr>
            <w:r>
              <w:rPr>
                <w:rFonts w:cs="Arial"/>
                <w:szCs w:val="20"/>
              </w:rPr>
              <w:t>$29,058.97</w:t>
            </w:r>
          </w:p>
        </w:tc>
      </w:tr>
      <w:tr w:rsidR="00120998" w:rsidRPr="00073F20" w14:paraId="3DD05416" w14:textId="77777777" w:rsidTr="00120998">
        <w:trPr>
          <w:trHeight w:val="162"/>
          <w:jc w:val="center"/>
        </w:trPr>
        <w:tc>
          <w:tcPr>
            <w:tcW w:w="2681" w:type="dxa"/>
            <w:tcBorders>
              <w:top w:val="single" w:sz="4" w:space="0" w:color="auto"/>
              <w:left w:val="single" w:sz="4" w:space="0" w:color="auto"/>
              <w:bottom w:val="single" w:sz="4" w:space="0" w:color="auto"/>
              <w:right w:val="single" w:sz="4" w:space="0" w:color="auto"/>
            </w:tcBorders>
            <w:vAlign w:val="center"/>
          </w:tcPr>
          <w:p w14:paraId="50435AA4" w14:textId="77777777" w:rsidR="00120998" w:rsidRPr="003C1F0E" w:rsidRDefault="00120998" w:rsidP="00120998">
            <w:pPr>
              <w:rPr>
                <w:rFonts w:cs="Arial"/>
                <w:spacing w:val="-3"/>
                <w:szCs w:val="20"/>
              </w:rPr>
            </w:pPr>
            <w:r w:rsidRPr="003C1F0E">
              <w:rPr>
                <w:rFonts w:cs="Arial"/>
                <w:spacing w:val="-3"/>
                <w:szCs w:val="20"/>
              </w:rPr>
              <w:t>NEXVIAZYME 100 MG/VIAL</w:t>
            </w:r>
          </w:p>
        </w:tc>
        <w:tc>
          <w:tcPr>
            <w:tcW w:w="1784" w:type="dxa"/>
            <w:tcBorders>
              <w:top w:val="single" w:sz="4" w:space="0" w:color="auto"/>
              <w:left w:val="single" w:sz="4" w:space="0" w:color="auto"/>
              <w:bottom w:val="single" w:sz="4" w:space="0" w:color="auto"/>
              <w:right w:val="single" w:sz="4" w:space="0" w:color="auto"/>
            </w:tcBorders>
            <w:vAlign w:val="center"/>
          </w:tcPr>
          <w:p w14:paraId="42F926C3" w14:textId="20736F04" w:rsidR="00120998" w:rsidRPr="00D83498" w:rsidRDefault="00C2410F" w:rsidP="00120998">
            <w:pPr>
              <w:jc w:val="center"/>
              <w:rPr>
                <w:rFonts w:cs="Arial"/>
                <w:spacing w:val="-3"/>
                <w:szCs w:val="20"/>
              </w:rPr>
            </w:pPr>
            <w:r>
              <w:rPr>
                <w:rFonts w:cs="Arial"/>
                <w:spacing w:val="-3"/>
                <w:szCs w:val="20"/>
              </w:rPr>
              <w:t>7</w:t>
            </w:r>
          </w:p>
        </w:tc>
        <w:tc>
          <w:tcPr>
            <w:tcW w:w="1226" w:type="dxa"/>
            <w:tcBorders>
              <w:top w:val="single" w:sz="4" w:space="0" w:color="auto"/>
              <w:left w:val="single" w:sz="4" w:space="0" w:color="auto"/>
              <w:bottom w:val="single" w:sz="4" w:space="0" w:color="auto"/>
              <w:right w:val="single" w:sz="4" w:space="0" w:color="auto"/>
            </w:tcBorders>
            <w:vAlign w:val="center"/>
          </w:tcPr>
          <w:p w14:paraId="6B50D0DE" w14:textId="38D19FAF" w:rsidR="00120998" w:rsidRPr="00073F20" w:rsidRDefault="00120998" w:rsidP="00120998">
            <w:pPr>
              <w:jc w:val="center"/>
              <w:rPr>
                <w:rFonts w:cs="Arial"/>
                <w:b/>
                <w:bCs/>
                <w:spacing w:val="-3"/>
                <w:szCs w:val="20"/>
              </w:rPr>
            </w:pPr>
            <w:r>
              <w:rPr>
                <w:rFonts w:cs="Arial"/>
                <w:szCs w:val="20"/>
              </w:rPr>
              <w:t>107</w:t>
            </w:r>
          </w:p>
        </w:tc>
        <w:tc>
          <w:tcPr>
            <w:tcW w:w="2007" w:type="dxa"/>
            <w:tcBorders>
              <w:top w:val="single" w:sz="4" w:space="0" w:color="auto"/>
              <w:left w:val="single" w:sz="4" w:space="0" w:color="auto"/>
              <w:bottom w:val="single" w:sz="4" w:space="0" w:color="auto"/>
              <w:right w:val="single" w:sz="4" w:space="0" w:color="auto"/>
            </w:tcBorders>
            <w:vAlign w:val="center"/>
          </w:tcPr>
          <w:p w14:paraId="1669C02C" w14:textId="4478796C" w:rsidR="00120998" w:rsidRPr="00073F20" w:rsidRDefault="00120998" w:rsidP="00120998">
            <w:pPr>
              <w:jc w:val="center"/>
              <w:rPr>
                <w:rFonts w:cs="Arial"/>
                <w:b/>
                <w:bCs/>
                <w:spacing w:val="-3"/>
                <w:szCs w:val="20"/>
              </w:rPr>
            </w:pPr>
            <w:r>
              <w:rPr>
                <w:rFonts w:cs="Arial"/>
                <w:szCs w:val="20"/>
              </w:rPr>
              <w:t>$3,845,670.66</w:t>
            </w:r>
          </w:p>
        </w:tc>
        <w:tc>
          <w:tcPr>
            <w:tcW w:w="2112" w:type="dxa"/>
            <w:tcBorders>
              <w:top w:val="single" w:sz="4" w:space="0" w:color="auto"/>
              <w:left w:val="single" w:sz="4" w:space="0" w:color="auto"/>
              <w:bottom w:val="single" w:sz="4" w:space="0" w:color="auto"/>
              <w:right w:val="single" w:sz="4" w:space="0" w:color="auto"/>
            </w:tcBorders>
            <w:vAlign w:val="center"/>
          </w:tcPr>
          <w:p w14:paraId="71FE24A2" w14:textId="3EE3B051" w:rsidR="00120998" w:rsidRPr="00073F20" w:rsidRDefault="00120998" w:rsidP="00120998">
            <w:pPr>
              <w:jc w:val="center"/>
              <w:rPr>
                <w:rFonts w:cs="Arial"/>
                <w:b/>
                <w:bCs/>
                <w:spacing w:val="-3"/>
                <w:szCs w:val="20"/>
                <w:highlight w:val="yellow"/>
              </w:rPr>
            </w:pPr>
            <w:r>
              <w:rPr>
                <w:rFonts w:cs="Arial"/>
                <w:szCs w:val="20"/>
              </w:rPr>
              <w:t>$35,940.85</w:t>
            </w:r>
          </w:p>
        </w:tc>
      </w:tr>
      <w:tr w:rsidR="00120998" w:rsidRPr="00073F20" w14:paraId="5648A477" w14:textId="77777777" w:rsidTr="00721FAB">
        <w:trPr>
          <w:trHeight w:val="162"/>
          <w:jc w:val="center"/>
        </w:trPr>
        <w:tc>
          <w:tcPr>
            <w:tcW w:w="2681" w:type="dxa"/>
            <w:tcBorders>
              <w:top w:val="single" w:sz="4" w:space="0" w:color="auto"/>
              <w:left w:val="single" w:sz="4" w:space="0" w:color="auto"/>
              <w:bottom w:val="single" w:sz="4" w:space="0" w:color="auto"/>
              <w:right w:val="single" w:sz="4" w:space="0" w:color="auto"/>
            </w:tcBorders>
            <w:vAlign w:val="center"/>
          </w:tcPr>
          <w:p w14:paraId="7C36A5EE" w14:textId="77777777" w:rsidR="00120998" w:rsidRPr="003C1F0E" w:rsidRDefault="00120998" w:rsidP="00120998">
            <w:pPr>
              <w:rPr>
                <w:rFonts w:cs="Arial"/>
                <w:spacing w:val="-3"/>
                <w:szCs w:val="20"/>
              </w:rPr>
            </w:pPr>
            <w:r>
              <w:rPr>
                <w:rFonts w:cs="Arial"/>
                <w:szCs w:val="20"/>
              </w:rPr>
              <w:t>POMBILITI 105 MG VIAL</w:t>
            </w:r>
          </w:p>
        </w:tc>
        <w:tc>
          <w:tcPr>
            <w:tcW w:w="1784" w:type="dxa"/>
            <w:tcBorders>
              <w:top w:val="single" w:sz="4" w:space="0" w:color="auto"/>
              <w:left w:val="single" w:sz="4" w:space="0" w:color="auto"/>
              <w:bottom w:val="single" w:sz="4" w:space="0" w:color="auto"/>
              <w:right w:val="single" w:sz="4" w:space="0" w:color="auto"/>
            </w:tcBorders>
            <w:vAlign w:val="center"/>
          </w:tcPr>
          <w:p w14:paraId="5788A8C6" w14:textId="7FDCE2E4" w:rsidR="00120998" w:rsidRPr="00D83498" w:rsidRDefault="00B70794" w:rsidP="00120998">
            <w:pPr>
              <w:jc w:val="center"/>
              <w:rPr>
                <w:rFonts w:cs="Arial"/>
                <w:spacing w:val="-3"/>
                <w:szCs w:val="20"/>
              </w:rPr>
            </w:pPr>
            <w:r>
              <w:rPr>
                <w:rFonts w:cs="Arial"/>
                <w:spacing w:val="-3"/>
                <w:szCs w:val="20"/>
              </w:rPr>
              <w:t>3</w:t>
            </w:r>
          </w:p>
        </w:tc>
        <w:tc>
          <w:tcPr>
            <w:tcW w:w="1226" w:type="dxa"/>
            <w:tcBorders>
              <w:top w:val="single" w:sz="4" w:space="0" w:color="auto"/>
              <w:left w:val="single" w:sz="4" w:space="0" w:color="auto"/>
              <w:bottom w:val="single" w:sz="4" w:space="0" w:color="auto"/>
              <w:right w:val="single" w:sz="4" w:space="0" w:color="auto"/>
            </w:tcBorders>
            <w:vAlign w:val="bottom"/>
          </w:tcPr>
          <w:p w14:paraId="30BFA3F3" w14:textId="09575A27" w:rsidR="00120998" w:rsidRPr="00073F20" w:rsidRDefault="00120998" w:rsidP="00120998">
            <w:pPr>
              <w:jc w:val="center"/>
              <w:rPr>
                <w:rFonts w:cs="Arial"/>
                <w:b/>
                <w:bCs/>
                <w:spacing w:val="-3"/>
                <w:szCs w:val="20"/>
              </w:rPr>
            </w:pPr>
            <w:r>
              <w:rPr>
                <w:rFonts w:cs="Arial"/>
                <w:szCs w:val="20"/>
              </w:rPr>
              <w:t>17</w:t>
            </w:r>
          </w:p>
        </w:tc>
        <w:tc>
          <w:tcPr>
            <w:tcW w:w="2007" w:type="dxa"/>
            <w:tcBorders>
              <w:top w:val="single" w:sz="4" w:space="0" w:color="auto"/>
              <w:left w:val="single" w:sz="4" w:space="0" w:color="auto"/>
              <w:bottom w:val="single" w:sz="4" w:space="0" w:color="auto"/>
              <w:right w:val="single" w:sz="4" w:space="0" w:color="auto"/>
            </w:tcBorders>
            <w:vAlign w:val="bottom"/>
          </w:tcPr>
          <w:p w14:paraId="430169F5" w14:textId="29EABBDB" w:rsidR="00120998" w:rsidRPr="00073F20" w:rsidRDefault="00120998" w:rsidP="00120998">
            <w:pPr>
              <w:jc w:val="center"/>
              <w:rPr>
                <w:rFonts w:cs="Arial"/>
                <w:b/>
                <w:bCs/>
                <w:spacing w:val="-3"/>
                <w:szCs w:val="20"/>
              </w:rPr>
            </w:pPr>
            <w:r>
              <w:rPr>
                <w:rFonts w:cs="Arial"/>
                <w:szCs w:val="20"/>
              </w:rPr>
              <w:t>$849,945.62</w:t>
            </w:r>
          </w:p>
        </w:tc>
        <w:tc>
          <w:tcPr>
            <w:tcW w:w="2112" w:type="dxa"/>
            <w:tcBorders>
              <w:top w:val="single" w:sz="4" w:space="0" w:color="auto"/>
              <w:left w:val="single" w:sz="4" w:space="0" w:color="auto"/>
              <w:bottom w:val="single" w:sz="4" w:space="0" w:color="auto"/>
              <w:right w:val="single" w:sz="4" w:space="0" w:color="auto"/>
            </w:tcBorders>
            <w:vAlign w:val="bottom"/>
          </w:tcPr>
          <w:p w14:paraId="284ABD30" w14:textId="7C7C8C35" w:rsidR="00120998" w:rsidRPr="00073F20" w:rsidRDefault="00120998" w:rsidP="00120998">
            <w:pPr>
              <w:jc w:val="center"/>
              <w:rPr>
                <w:rFonts w:cs="Arial"/>
                <w:b/>
                <w:bCs/>
                <w:szCs w:val="20"/>
              </w:rPr>
            </w:pPr>
            <w:r>
              <w:rPr>
                <w:rFonts w:cs="Arial"/>
                <w:szCs w:val="20"/>
              </w:rPr>
              <w:t>$49,996.80</w:t>
            </w:r>
          </w:p>
        </w:tc>
      </w:tr>
      <w:tr w:rsidR="00120998" w:rsidRPr="00073F20" w14:paraId="762EF296" w14:textId="77777777" w:rsidTr="00CD6693">
        <w:trPr>
          <w:trHeight w:val="162"/>
          <w:jc w:val="center"/>
        </w:trPr>
        <w:tc>
          <w:tcPr>
            <w:tcW w:w="2681" w:type="dxa"/>
            <w:tcBorders>
              <w:top w:val="single" w:sz="4" w:space="0" w:color="auto"/>
              <w:left w:val="single" w:sz="4" w:space="0" w:color="auto"/>
              <w:bottom w:val="single" w:sz="4" w:space="0" w:color="auto"/>
              <w:right w:val="single" w:sz="4" w:space="0" w:color="auto"/>
            </w:tcBorders>
            <w:vAlign w:val="center"/>
          </w:tcPr>
          <w:p w14:paraId="3BDA54C1" w14:textId="77777777" w:rsidR="00120998" w:rsidRPr="003C1F0E" w:rsidRDefault="00120998" w:rsidP="00120998">
            <w:pPr>
              <w:rPr>
                <w:rFonts w:cs="Arial"/>
                <w:spacing w:val="-3"/>
                <w:szCs w:val="20"/>
              </w:rPr>
            </w:pPr>
            <w:r>
              <w:rPr>
                <w:rFonts w:cs="Arial"/>
                <w:szCs w:val="20"/>
              </w:rPr>
              <w:t>OPFOLDA 65 MG CAP</w:t>
            </w:r>
          </w:p>
        </w:tc>
        <w:tc>
          <w:tcPr>
            <w:tcW w:w="1784" w:type="dxa"/>
            <w:tcBorders>
              <w:top w:val="single" w:sz="4" w:space="0" w:color="auto"/>
              <w:left w:val="single" w:sz="4" w:space="0" w:color="auto"/>
              <w:bottom w:val="single" w:sz="4" w:space="0" w:color="auto"/>
              <w:right w:val="single" w:sz="4" w:space="0" w:color="auto"/>
            </w:tcBorders>
            <w:vAlign w:val="center"/>
          </w:tcPr>
          <w:p w14:paraId="41F23CB1" w14:textId="57F933F2" w:rsidR="00120998" w:rsidRPr="00D83498" w:rsidRDefault="00B70794" w:rsidP="00120998">
            <w:pPr>
              <w:jc w:val="center"/>
              <w:rPr>
                <w:rFonts w:cs="Arial"/>
                <w:spacing w:val="-3"/>
                <w:szCs w:val="20"/>
              </w:rPr>
            </w:pPr>
            <w:r>
              <w:rPr>
                <w:rFonts w:cs="Arial"/>
                <w:spacing w:val="-3"/>
                <w:szCs w:val="20"/>
              </w:rPr>
              <w:t>3</w:t>
            </w:r>
          </w:p>
        </w:tc>
        <w:tc>
          <w:tcPr>
            <w:tcW w:w="1226" w:type="dxa"/>
            <w:tcBorders>
              <w:top w:val="single" w:sz="4" w:space="0" w:color="auto"/>
              <w:left w:val="single" w:sz="4" w:space="0" w:color="auto"/>
              <w:bottom w:val="single" w:sz="4" w:space="0" w:color="auto"/>
              <w:right w:val="single" w:sz="4" w:space="0" w:color="auto"/>
            </w:tcBorders>
            <w:vAlign w:val="bottom"/>
          </w:tcPr>
          <w:p w14:paraId="050F1E35" w14:textId="1DDB5CA9" w:rsidR="00120998" w:rsidRPr="00073F20" w:rsidRDefault="00120998" w:rsidP="00120998">
            <w:pPr>
              <w:jc w:val="center"/>
              <w:rPr>
                <w:rFonts w:cs="Arial"/>
                <w:b/>
                <w:bCs/>
                <w:spacing w:val="-3"/>
                <w:szCs w:val="20"/>
              </w:rPr>
            </w:pPr>
            <w:r>
              <w:rPr>
                <w:rFonts w:cs="Arial"/>
                <w:szCs w:val="20"/>
              </w:rPr>
              <w:t>17</w:t>
            </w:r>
          </w:p>
        </w:tc>
        <w:tc>
          <w:tcPr>
            <w:tcW w:w="2007" w:type="dxa"/>
            <w:tcBorders>
              <w:top w:val="single" w:sz="4" w:space="0" w:color="auto"/>
              <w:left w:val="single" w:sz="4" w:space="0" w:color="auto"/>
              <w:bottom w:val="single" w:sz="4" w:space="0" w:color="auto"/>
              <w:right w:val="single" w:sz="4" w:space="0" w:color="auto"/>
            </w:tcBorders>
            <w:vAlign w:val="bottom"/>
          </w:tcPr>
          <w:p w14:paraId="30068ACE" w14:textId="256B624A" w:rsidR="00120998" w:rsidRPr="00073F20" w:rsidRDefault="00120998" w:rsidP="00120998">
            <w:pPr>
              <w:jc w:val="center"/>
              <w:rPr>
                <w:rFonts w:cs="Arial"/>
                <w:b/>
                <w:bCs/>
                <w:spacing w:val="-3"/>
                <w:szCs w:val="20"/>
              </w:rPr>
            </w:pPr>
            <w:r>
              <w:rPr>
                <w:rFonts w:cs="Arial"/>
                <w:szCs w:val="20"/>
              </w:rPr>
              <w:t>$4,606.92</w:t>
            </w:r>
          </w:p>
        </w:tc>
        <w:tc>
          <w:tcPr>
            <w:tcW w:w="2112" w:type="dxa"/>
            <w:tcBorders>
              <w:top w:val="single" w:sz="4" w:space="0" w:color="auto"/>
              <w:left w:val="single" w:sz="4" w:space="0" w:color="auto"/>
              <w:bottom w:val="single" w:sz="4" w:space="0" w:color="auto"/>
              <w:right w:val="single" w:sz="4" w:space="0" w:color="auto"/>
            </w:tcBorders>
            <w:vAlign w:val="bottom"/>
          </w:tcPr>
          <w:p w14:paraId="0607D97B" w14:textId="435358DA" w:rsidR="00120998" w:rsidRPr="00073F20" w:rsidRDefault="00120998" w:rsidP="00120998">
            <w:pPr>
              <w:jc w:val="center"/>
              <w:rPr>
                <w:rFonts w:cs="Arial"/>
                <w:b/>
                <w:bCs/>
                <w:szCs w:val="20"/>
              </w:rPr>
            </w:pPr>
            <w:r>
              <w:rPr>
                <w:rFonts w:cs="Arial"/>
                <w:szCs w:val="20"/>
              </w:rPr>
              <w:t>$271.00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D4DD372" w:rsidR="0097028A" w:rsidRPr="0079438F" w:rsidRDefault="0097028A" w:rsidP="00696E3A">
      <w:pPr>
        <w:rPr>
          <w:b/>
        </w:rPr>
      </w:pPr>
      <w:r w:rsidRPr="00696E3A">
        <w:rPr>
          <w:b/>
          <w:bCs/>
        </w:rPr>
        <w:t>Drug class for review:</w:t>
      </w:r>
      <w:r w:rsidRPr="00C02553">
        <w:t xml:space="preserve"> </w:t>
      </w:r>
      <w:r w:rsidR="001A36BF">
        <w:rPr>
          <w:rFonts w:cs="Arial"/>
          <w:szCs w:val="20"/>
        </w:rPr>
        <w:t>agents for Pompe disease</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292AA3BB" w14:textId="77777777" w:rsidR="001A36BF" w:rsidRPr="00584BFA" w:rsidRDefault="001A36BF" w:rsidP="00411E3E">
      <w:pPr>
        <w:pStyle w:val="ListParagraph"/>
      </w:pPr>
      <w:r w:rsidRPr="00584BFA">
        <w:t xml:space="preserve">Must meet </w:t>
      </w:r>
      <w:proofErr w:type="gramStart"/>
      <w:r w:rsidRPr="00584BFA">
        <w:t>all of</w:t>
      </w:r>
      <w:proofErr w:type="gramEnd"/>
      <w:r w:rsidRPr="00584BFA">
        <w:t xml:space="preserve"> the following:</w:t>
      </w:r>
    </w:p>
    <w:p w14:paraId="63D7FB46" w14:textId="77777777" w:rsidR="001A36BF" w:rsidRPr="00584BFA" w:rsidRDefault="001A36BF" w:rsidP="00411E3E">
      <w:pPr>
        <w:pStyle w:val="ListParagraph"/>
        <w:numPr>
          <w:ilvl w:val="1"/>
          <w:numId w:val="6"/>
        </w:numPr>
      </w:pPr>
      <w:r w:rsidRPr="00584BFA">
        <w:t xml:space="preserve">Prescribed by or in consultation with a neurologist, geneticist, or other specialist in the treated disease state; </w:t>
      </w:r>
      <w:r w:rsidRPr="00584BFA">
        <w:rPr>
          <w:b/>
          <w:bCs/>
        </w:rPr>
        <w:t>AND</w:t>
      </w:r>
    </w:p>
    <w:p w14:paraId="6FCF8B10" w14:textId="77777777" w:rsidR="001A36BF" w:rsidRPr="00584BFA" w:rsidRDefault="001A36BF" w:rsidP="00411E3E">
      <w:pPr>
        <w:pStyle w:val="ListParagraph"/>
        <w:numPr>
          <w:ilvl w:val="1"/>
          <w:numId w:val="6"/>
        </w:numPr>
      </w:pPr>
      <w:r w:rsidRPr="00584BFA">
        <w:t>Documented diagnosis of Pompe disease.</w:t>
      </w:r>
    </w:p>
    <w:p w14:paraId="0816CE77" w14:textId="77777777" w:rsidR="001A36BF" w:rsidRPr="00584BFA" w:rsidRDefault="001A36BF" w:rsidP="00411E3E">
      <w:pPr>
        <w:pStyle w:val="ListParagraph"/>
      </w:pPr>
      <w:r w:rsidRPr="00584BFA">
        <w:t xml:space="preserve">Additional approval criteria for </w:t>
      </w:r>
      <w:proofErr w:type="spellStart"/>
      <w:r w:rsidRPr="00584BFA">
        <w:t>Nexviazyme</w:t>
      </w:r>
      <w:proofErr w:type="spellEnd"/>
      <w:r w:rsidRPr="00584BFA">
        <w:t xml:space="preserve"> and </w:t>
      </w:r>
      <w:proofErr w:type="spellStart"/>
      <w:r w:rsidRPr="00584BFA">
        <w:t>Pombiliti</w:t>
      </w:r>
      <w:proofErr w:type="spellEnd"/>
      <w:r w:rsidRPr="00584BFA">
        <w:t>/</w:t>
      </w:r>
      <w:proofErr w:type="spellStart"/>
      <w:r w:rsidRPr="00584BFA">
        <w:t>Opfolda</w:t>
      </w:r>
      <w:proofErr w:type="spellEnd"/>
      <w:r w:rsidRPr="00584BFA">
        <w:t>:</w:t>
      </w:r>
    </w:p>
    <w:p w14:paraId="6DFB6333" w14:textId="77777777" w:rsidR="001A36BF" w:rsidRPr="00584BFA" w:rsidRDefault="001A36BF" w:rsidP="00411E3E">
      <w:pPr>
        <w:pStyle w:val="ListParagraph"/>
        <w:numPr>
          <w:ilvl w:val="1"/>
          <w:numId w:val="6"/>
        </w:numPr>
      </w:pPr>
      <w:r w:rsidRPr="00584BFA">
        <w:t>Diagnosis of late-onset Pompe Disease, as evidenced by one of the following:</w:t>
      </w:r>
    </w:p>
    <w:p w14:paraId="60198FAA" w14:textId="77777777" w:rsidR="001A36BF" w:rsidRPr="00584BFA" w:rsidRDefault="001A36BF" w:rsidP="00411E3E">
      <w:pPr>
        <w:pStyle w:val="ListParagraph"/>
        <w:numPr>
          <w:ilvl w:val="2"/>
          <w:numId w:val="6"/>
        </w:numPr>
      </w:pPr>
      <w:r w:rsidRPr="00584BFA">
        <w:t xml:space="preserve">Enzyme assay showing a deficiency of acid-alpha glucosidase (GAA) activity in the blood, skin, or muscle; </w:t>
      </w:r>
      <w:r w:rsidRPr="00584BFA">
        <w:rPr>
          <w:b/>
          <w:bCs/>
        </w:rPr>
        <w:t>OR</w:t>
      </w:r>
    </w:p>
    <w:p w14:paraId="4FA95B93" w14:textId="77777777" w:rsidR="001A36BF" w:rsidRPr="00584BFA" w:rsidRDefault="001A36BF" w:rsidP="00411E3E">
      <w:pPr>
        <w:pStyle w:val="ListParagraph"/>
        <w:numPr>
          <w:ilvl w:val="2"/>
          <w:numId w:val="6"/>
        </w:numPr>
      </w:pPr>
      <w:r w:rsidRPr="00584BFA">
        <w:t xml:space="preserve">Genetic testing showing a pathogenic variant of the </w:t>
      </w:r>
      <w:r w:rsidRPr="00E90E8E">
        <w:rPr>
          <w:i/>
          <w:iCs/>
        </w:rPr>
        <w:t>GAA</w:t>
      </w:r>
      <w:r w:rsidRPr="00584BFA">
        <w:t xml:space="preserve"> gene</w:t>
      </w:r>
    </w:p>
    <w:p w14:paraId="2F2B090B" w14:textId="77777777" w:rsidR="001A36BF" w:rsidRPr="00584BFA" w:rsidRDefault="001A36BF" w:rsidP="00411E3E">
      <w:pPr>
        <w:pStyle w:val="ListParagraph"/>
      </w:pPr>
      <w:r w:rsidRPr="00584BFA">
        <w:t xml:space="preserve">Additional approval criteria for </w:t>
      </w:r>
      <w:proofErr w:type="spellStart"/>
      <w:r w:rsidRPr="00584BFA">
        <w:t>Nexviazyme</w:t>
      </w:r>
      <w:proofErr w:type="spellEnd"/>
      <w:r w:rsidRPr="00584BFA">
        <w:t>:</w:t>
      </w:r>
    </w:p>
    <w:p w14:paraId="2106C164" w14:textId="77777777" w:rsidR="001A36BF" w:rsidRPr="00584BFA" w:rsidRDefault="001A36BF" w:rsidP="00411E3E">
      <w:pPr>
        <w:pStyle w:val="ListParagraph"/>
        <w:numPr>
          <w:ilvl w:val="1"/>
          <w:numId w:val="6"/>
        </w:numPr>
      </w:pPr>
      <w:r w:rsidRPr="00584BFA">
        <w:t xml:space="preserve">Documented medical reason why participant cannot use </w:t>
      </w:r>
      <w:proofErr w:type="spellStart"/>
      <w:r w:rsidRPr="00584BFA">
        <w:t>Lumizyme</w:t>
      </w:r>
      <w:proofErr w:type="spellEnd"/>
      <w:r w:rsidRPr="00584BFA">
        <w:t xml:space="preserve">; </w:t>
      </w:r>
      <w:r w:rsidRPr="00584BFA">
        <w:rPr>
          <w:b/>
          <w:bCs/>
        </w:rPr>
        <w:t>AND</w:t>
      </w:r>
    </w:p>
    <w:p w14:paraId="1B35DD5E" w14:textId="77777777" w:rsidR="001A36BF" w:rsidRPr="00584BFA" w:rsidRDefault="001A36BF" w:rsidP="00411E3E">
      <w:pPr>
        <w:pStyle w:val="ListParagraph"/>
        <w:numPr>
          <w:ilvl w:val="1"/>
          <w:numId w:val="6"/>
        </w:numPr>
      </w:pPr>
      <w:r w:rsidRPr="00584BFA">
        <w:t>Participant aged ≥ 1 year.</w:t>
      </w:r>
    </w:p>
    <w:p w14:paraId="7C7A0FEC" w14:textId="77777777" w:rsidR="001A36BF" w:rsidRPr="00584BFA" w:rsidRDefault="001A36BF" w:rsidP="00411E3E">
      <w:pPr>
        <w:pStyle w:val="ListParagraph"/>
      </w:pPr>
      <w:r w:rsidRPr="00584BFA">
        <w:t xml:space="preserve">Additional approval criteria for </w:t>
      </w:r>
      <w:proofErr w:type="spellStart"/>
      <w:r w:rsidRPr="00584BFA">
        <w:t>Pombiliti</w:t>
      </w:r>
      <w:proofErr w:type="spellEnd"/>
      <w:r w:rsidRPr="00584BFA">
        <w:t xml:space="preserve"> and </w:t>
      </w:r>
      <w:proofErr w:type="spellStart"/>
      <w:r w:rsidRPr="00584BFA">
        <w:t>Opfolda</w:t>
      </w:r>
      <w:proofErr w:type="spellEnd"/>
      <w:r w:rsidRPr="00584BFA">
        <w:t>:</w:t>
      </w:r>
    </w:p>
    <w:p w14:paraId="71C1DA73" w14:textId="77777777" w:rsidR="001A36BF" w:rsidRPr="00584BFA" w:rsidRDefault="001A36BF" w:rsidP="00411E3E">
      <w:pPr>
        <w:pStyle w:val="ListParagraph"/>
        <w:numPr>
          <w:ilvl w:val="1"/>
          <w:numId w:val="6"/>
        </w:numPr>
      </w:pPr>
      <w:r w:rsidRPr="00584BFA">
        <w:t xml:space="preserve">Participant ≥ 18 years of age and weighs ≥ 40 </w:t>
      </w:r>
      <w:proofErr w:type="gramStart"/>
      <w:r w:rsidRPr="00584BFA">
        <w:t>kg;</w:t>
      </w:r>
      <w:proofErr w:type="gramEnd"/>
    </w:p>
    <w:p w14:paraId="34E66896" w14:textId="77777777" w:rsidR="001A36BF" w:rsidRPr="00584BFA" w:rsidRDefault="001A36BF" w:rsidP="00411E3E">
      <w:pPr>
        <w:pStyle w:val="ListParagraph"/>
        <w:numPr>
          <w:ilvl w:val="1"/>
          <w:numId w:val="6"/>
        </w:numPr>
      </w:pPr>
      <w:r w:rsidRPr="00584BFA">
        <w:t xml:space="preserve">Participant is currently receiving other ERT and documentation from provider attests that the participant is no longer improving; </w:t>
      </w:r>
      <w:r w:rsidRPr="00584BFA">
        <w:rPr>
          <w:b/>
          <w:bCs/>
        </w:rPr>
        <w:t>AND</w:t>
      </w:r>
    </w:p>
    <w:p w14:paraId="0647113F" w14:textId="77777777" w:rsidR="001A36BF" w:rsidRPr="00584BFA" w:rsidRDefault="001A36BF" w:rsidP="00411E3E">
      <w:pPr>
        <w:pStyle w:val="ListParagraph"/>
        <w:numPr>
          <w:ilvl w:val="1"/>
          <w:numId w:val="6"/>
        </w:numPr>
      </w:pPr>
      <w:proofErr w:type="spellStart"/>
      <w:r w:rsidRPr="00584BFA">
        <w:t>Pombiliti</w:t>
      </w:r>
      <w:proofErr w:type="spellEnd"/>
      <w:r w:rsidRPr="00584BFA">
        <w:t xml:space="preserve"> and </w:t>
      </w:r>
      <w:proofErr w:type="spellStart"/>
      <w:r w:rsidRPr="00584BFA">
        <w:t>Opfolda</w:t>
      </w:r>
      <w:proofErr w:type="spellEnd"/>
      <w:r w:rsidRPr="00584BFA">
        <w:t xml:space="preserve"> are being used in combination.</w:t>
      </w:r>
    </w:p>
    <w:p w14:paraId="6F6D4DB0" w14:textId="77777777" w:rsidR="001A36BF" w:rsidRPr="00584BFA" w:rsidRDefault="001A36BF" w:rsidP="00411E3E">
      <w:pPr>
        <w:pStyle w:val="ListParagraph"/>
      </w:pPr>
      <w:r w:rsidRPr="00584BFA">
        <w:t>Initial approval period: 1 year</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24BA4EFB" w14:textId="77777777" w:rsidR="001A36BF" w:rsidRPr="00584BFA" w:rsidRDefault="001A36BF" w:rsidP="00411E3E">
      <w:pPr>
        <w:pStyle w:val="ListParagraph"/>
      </w:pPr>
      <w:r w:rsidRPr="00584BFA">
        <w:t xml:space="preserve">Must meet </w:t>
      </w:r>
      <w:proofErr w:type="gramStart"/>
      <w:r w:rsidRPr="00584BFA">
        <w:t>all of</w:t>
      </w:r>
      <w:proofErr w:type="gramEnd"/>
      <w:r w:rsidRPr="00584BFA">
        <w:t xml:space="preserve"> the following:</w:t>
      </w:r>
    </w:p>
    <w:p w14:paraId="1A74B50C" w14:textId="77777777" w:rsidR="001A36BF" w:rsidRPr="00584BFA" w:rsidRDefault="001A36BF" w:rsidP="00411E3E">
      <w:pPr>
        <w:pStyle w:val="ListParagraph"/>
        <w:numPr>
          <w:ilvl w:val="1"/>
          <w:numId w:val="6"/>
        </w:numPr>
      </w:pPr>
      <w:r w:rsidRPr="00584BFA">
        <w:t xml:space="preserve">Participant is compliant on current therapy regimen; </w:t>
      </w:r>
      <w:r w:rsidRPr="00584BFA">
        <w:rPr>
          <w:b/>
          <w:bCs/>
        </w:rPr>
        <w:t>AND</w:t>
      </w:r>
    </w:p>
    <w:p w14:paraId="0A525A3D" w14:textId="77777777" w:rsidR="001A36BF" w:rsidRPr="00584BFA" w:rsidRDefault="001A36BF" w:rsidP="00411E3E">
      <w:pPr>
        <w:pStyle w:val="ListParagraph"/>
        <w:numPr>
          <w:ilvl w:val="1"/>
          <w:numId w:val="6"/>
        </w:numPr>
      </w:pPr>
      <w:r w:rsidRPr="00584BFA">
        <w:t>Documentation of benefit of therapy is received.</w:t>
      </w:r>
    </w:p>
    <w:p w14:paraId="145C9793" w14:textId="77777777" w:rsidR="001A36BF" w:rsidRPr="00584BFA" w:rsidRDefault="001A36BF" w:rsidP="00411E3E">
      <w:pPr>
        <w:pStyle w:val="ListParagraph"/>
      </w:pPr>
      <w:r w:rsidRPr="00584BFA">
        <w:t>Continuation approval period: 1 year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3F73F137" w14:textId="77777777" w:rsidR="001A36BF" w:rsidRPr="00411E3E" w:rsidRDefault="001A36BF" w:rsidP="00411E3E">
      <w:pPr>
        <w:pStyle w:val="ListParagraph"/>
      </w:pPr>
      <w:bookmarkStart w:id="1" w:name="_Hlk47597237"/>
      <w:r w:rsidRPr="00411E3E">
        <w:t>Therapy will deny with presence of one of the following:</w:t>
      </w:r>
    </w:p>
    <w:p w14:paraId="5DF9A87D" w14:textId="77777777" w:rsidR="001A36BF" w:rsidRPr="00411E3E" w:rsidRDefault="001A36BF" w:rsidP="00411E3E">
      <w:pPr>
        <w:pStyle w:val="ListParagraph"/>
        <w:numPr>
          <w:ilvl w:val="1"/>
          <w:numId w:val="6"/>
        </w:numPr>
      </w:pPr>
      <w:r w:rsidRPr="00411E3E">
        <w:t>If any approval criteria are not met.</w:t>
      </w:r>
    </w:p>
    <w:p w14:paraId="4DC1B7A0" w14:textId="77777777" w:rsidR="001A36BF" w:rsidRPr="00411E3E" w:rsidRDefault="001A36BF" w:rsidP="00411E3E">
      <w:pPr>
        <w:pStyle w:val="ListParagraph"/>
      </w:pPr>
      <w:r w:rsidRPr="00411E3E">
        <w:t xml:space="preserve">Additional denial criteria for </w:t>
      </w:r>
      <w:proofErr w:type="spellStart"/>
      <w:r w:rsidRPr="00411E3E">
        <w:t>Lumizyme</w:t>
      </w:r>
      <w:proofErr w:type="spellEnd"/>
      <w:r w:rsidRPr="00411E3E">
        <w:t>:</w:t>
      </w:r>
    </w:p>
    <w:p w14:paraId="1BAE4467" w14:textId="77777777" w:rsidR="001A36BF" w:rsidRPr="00411E3E" w:rsidRDefault="001A36BF" w:rsidP="00411E3E">
      <w:pPr>
        <w:pStyle w:val="ListParagraph"/>
        <w:numPr>
          <w:ilvl w:val="1"/>
          <w:numId w:val="6"/>
        </w:numPr>
      </w:pPr>
      <w:r w:rsidRPr="00411E3E">
        <w:t xml:space="preserve">Concomitant use of </w:t>
      </w:r>
      <w:proofErr w:type="spellStart"/>
      <w:r w:rsidRPr="00411E3E">
        <w:t>Nexviazyme</w:t>
      </w:r>
      <w:proofErr w:type="spellEnd"/>
      <w:r w:rsidRPr="00411E3E">
        <w:t xml:space="preserve"> or </w:t>
      </w:r>
      <w:proofErr w:type="spellStart"/>
      <w:r w:rsidRPr="00584BFA">
        <w:t>Pombiliti</w:t>
      </w:r>
      <w:proofErr w:type="spellEnd"/>
      <w:r w:rsidRPr="00584BFA">
        <w:t xml:space="preserve"> and </w:t>
      </w:r>
      <w:proofErr w:type="spellStart"/>
      <w:r w:rsidRPr="00584BFA">
        <w:t>Opfolda</w:t>
      </w:r>
      <w:proofErr w:type="spellEnd"/>
      <w:r w:rsidRPr="00584BFA">
        <w:t>.</w:t>
      </w:r>
    </w:p>
    <w:p w14:paraId="0782DDA4" w14:textId="77777777" w:rsidR="001A36BF" w:rsidRPr="00411E3E" w:rsidRDefault="001A36BF" w:rsidP="00411E3E">
      <w:pPr>
        <w:pStyle w:val="ListParagraph"/>
      </w:pPr>
      <w:r w:rsidRPr="00411E3E">
        <w:t xml:space="preserve">Additional denial criteria for </w:t>
      </w:r>
      <w:proofErr w:type="spellStart"/>
      <w:r w:rsidRPr="00411E3E">
        <w:t>Nexviazyme</w:t>
      </w:r>
      <w:proofErr w:type="spellEnd"/>
      <w:r w:rsidRPr="00411E3E">
        <w:t>:</w:t>
      </w:r>
    </w:p>
    <w:p w14:paraId="427D9539" w14:textId="77777777" w:rsidR="001A36BF" w:rsidRPr="00411E3E" w:rsidRDefault="001A36BF" w:rsidP="00411E3E">
      <w:pPr>
        <w:pStyle w:val="ListParagraph"/>
        <w:numPr>
          <w:ilvl w:val="1"/>
          <w:numId w:val="6"/>
        </w:numPr>
      </w:pPr>
      <w:r w:rsidRPr="00411E3E">
        <w:t xml:space="preserve">Concomitant use of </w:t>
      </w:r>
      <w:proofErr w:type="spellStart"/>
      <w:r w:rsidRPr="00411E3E">
        <w:t>Lumizyme</w:t>
      </w:r>
      <w:proofErr w:type="spellEnd"/>
      <w:r w:rsidRPr="00411E3E">
        <w:t xml:space="preserve"> or </w:t>
      </w:r>
      <w:proofErr w:type="spellStart"/>
      <w:r w:rsidRPr="00584BFA">
        <w:t>Pombiliti</w:t>
      </w:r>
      <w:proofErr w:type="spellEnd"/>
      <w:r w:rsidRPr="00584BFA">
        <w:t xml:space="preserve"> and </w:t>
      </w:r>
      <w:proofErr w:type="spellStart"/>
      <w:r w:rsidRPr="00584BFA">
        <w:t>Opfolda</w:t>
      </w:r>
      <w:proofErr w:type="spellEnd"/>
      <w:r w:rsidRPr="00584BFA">
        <w:t>.</w:t>
      </w:r>
    </w:p>
    <w:p w14:paraId="66D291D5" w14:textId="77777777" w:rsidR="001A36BF" w:rsidRPr="00411E3E" w:rsidRDefault="001A36BF" w:rsidP="00411E3E">
      <w:pPr>
        <w:pStyle w:val="ListParagraph"/>
      </w:pPr>
      <w:r w:rsidRPr="00411E3E">
        <w:t xml:space="preserve">Additional denial criteria </w:t>
      </w:r>
      <w:r w:rsidRPr="00584BFA">
        <w:t xml:space="preserve">for </w:t>
      </w:r>
      <w:proofErr w:type="spellStart"/>
      <w:r w:rsidRPr="00584BFA">
        <w:t>Pombiliti</w:t>
      </w:r>
      <w:proofErr w:type="spellEnd"/>
      <w:r w:rsidRPr="00584BFA">
        <w:t xml:space="preserve"> and </w:t>
      </w:r>
      <w:proofErr w:type="spellStart"/>
      <w:r w:rsidRPr="00584BFA">
        <w:t>Opfolda</w:t>
      </w:r>
      <w:proofErr w:type="spellEnd"/>
      <w:r w:rsidRPr="00584BFA">
        <w:t>:</w:t>
      </w:r>
    </w:p>
    <w:p w14:paraId="37318853" w14:textId="77777777" w:rsidR="001A36BF" w:rsidRPr="00411E3E" w:rsidRDefault="001A36BF" w:rsidP="00411E3E">
      <w:pPr>
        <w:pStyle w:val="ListParagraph"/>
        <w:numPr>
          <w:ilvl w:val="1"/>
          <w:numId w:val="6"/>
        </w:numPr>
      </w:pPr>
      <w:r w:rsidRPr="00411E3E">
        <w:t xml:space="preserve">Concomitant use of </w:t>
      </w:r>
      <w:proofErr w:type="spellStart"/>
      <w:r w:rsidRPr="00411E3E">
        <w:t>Lumizyme</w:t>
      </w:r>
      <w:proofErr w:type="spellEnd"/>
      <w:r w:rsidRPr="00411E3E">
        <w:t xml:space="preserve"> or </w:t>
      </w:r>
      <w:proofErr w:type="spellStart"/>
      <w:r w:rsidRPr="00411E3E">
        <w:t>Nexviazyme</w:t>
      </w:r>
      <w:proofErr w:type="spellEnd"/>
      <w:r w:rsidRPr="00411E3E">
        <w:t xml:space="preserve">; </w:t>
      </w:r>
      <w:r w:rsidRPr="00411E3E">
        <w:rPr>
          <w:b/>
          <w:bCs/>
        </w:rPr>
        <w:t>OR</w:t>
      </w:r>
    </w:p>
    <w:p w14:paraId="024799DE" w14:textId="77777777" w:rsidR="001A36BF" w:rsidRPr="00584BFA" w:rsidRDefault="001A36BF" w:rsidP="00411E3E">
      <w:pPr>
        <w:pStyle w:val="ListParagraph"/>
      </w:pPr>
      <w:r w:rsidRPr="00584BFA">
        <w:t>Participant is currently pregnant.</w:t>
      </w:r>
    </w:p>
    <w:bookmarkEnd w:id="1"/>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lastRenderedPageBreak/>
        <w:t>References</w:t>
      </w:r>
    </w:p>
    <w:p w14:paraId="622C24B5" w14:textId="77777777" w:rsidR="001A36BF" w:rsidRPr="00593E2D" w:rsidRDefault="001A36BF" w:rsidP="001A36BF">
      <w:pPr>
        <w:pStyle w:val="ListParagraph"/>
        <w:numPr>
          <w:ilvl w:val="0"/>
          <w:numId w:val="18"/>
        </w:numPr>
        <w:spacing w:after="200"/>
        <w:rPr>
          <w:rFonts w:cs="Arial"/>
          <w:szCs w:val="20"/>
          <w:shd w:val="clear" w:color="auto" w:fill="FFFFFF"/>
        </w:rPr>
      </w:pPr>
      <w:proofErr w:type="spellStart"/>
      <w:r>
        <w:rPr>
          <w:rFonts w:cs="Arial"/>
          <w:szCs w:val="20"/>
          <w:shd w:val="clear" w:color="auto" w:fill="FFFFFF"/>
        </w:rPr>
        <w:t>Nexviazyme</w:t>
      </w:r>
      <w:proofErr w:type="spellEnd"/>
      <w:r>
        <w:rPr>
          <w:rFonts w:cs="Arial"/>
          <w:szCs w:val="20"/>
          <w:shd w:val="clear" w:color="auto" w:fill="FFFFFF"/>
        </w:rPr>
        <w:t xml:space="preserve"> [</w:t>
      </w:r>
      <w:r w:rsidRPr="00593E2D">
        <w:rPr>
          <w:rFonts w:cs="Arial"/>
          <w:szCs w:val="20"/>
          <w:shd w:val="clear" w:color="auto" w:fill="FFFFFF"/>
        </w:rPr>
        <w:t xml:space="preserve">package insert]. </w:t>
      </w:r>
      <w:sdt>
        <w:sdtPr>
          <w:rPr>
            <w:rFonts w:cs="Arial"/>
            <w:szCs w:val="20"/>
            <w:shd w:val="clear" w:color="auto" w:fill="FFFFFF"/>
          </w:rPr>
          <w:id w:val="-1095638733"/>
          <w:placeholder>
            <w:docPart w:val="6B358E133F7043C5981648C6553D5F41"/>
          </w:placeholder>
          <w:text/>
        </w:sdtPr>
        <w:sdtEndPr/>
        <w:sdtContent>
          <w:r w:rsidRPr="00593E2D">
            <w:rPr>
              <w:rFonts w:cs="Arial"/>
              <w:szCs w:val="20"/>
              <w:shd w:val="clear" w:color="auto" w:fill="FFFFFF"/>
            </w:rPr>
            <w:t>Cambridge, MA</w:t>
          </w:r>
        </w:sdtContent>
      </w:sdt>
      <w:r w:rsidRPr="00593E2D">
        <w:rPr>
          <w:rFonts w:cs="Arial"/>
          <w:szCs w:val="20"/>
          <w:shd w:val="clear" w:color="auto" w:fill="FFFFFF"/>
        </w:rPr>
        <w:t xml:space="preserve">: </w:t>
      </w:r>
      <w:sdt>
        <w:sdtPr>
          <w:rPr>
            <w:rFonts w:cs="Arial"/>
            <w:szCs w:val="20"/>
            <w:shd w:val="clear" w:color="auto" w:fill="FFFFFF"/>
          </w:rPr>
          <w:id w:val="1787229472"/>
          <w:placeholder>
            <w:docPart w:val="B0EDCD22A1AE428DA38142DE7D416E40"/>
          </w:placeholder>
          <w:text/>
        </w:sdtPr>
        <w:sdtEndPr/>
        <w:sdtContent>
          <w:r w:rsidRPr="00593E2D">
            <w:rPr>
              <w:rFonts w:cs="Arial"/>
              <w:szCs w:val="20"/>
              <w:shd w:val="clear" w:color="auto" w:fill="FFFFFF"/>
            </w:rPr>
            <w:t>Sanofi Genzyme Corporation</w:t>
          </w:r>
        </w:sdtContent>
      </w:sdt>
      <w:r w:rsidRPr="00593E2D">
        <w:rPr>
          <w:rFonts w:cs="Arial"/>
          <w:szCs w:val="20"/>
          <w:shd w:val="clear" w:color="auto" w:fill="FFFFFF"/>
        </w:rPr>
        <w:t xml:space="preserve">; </w:t>
      </w:r>
      <w:sdt>
        <w:sdtPr>
          <w:rPr>
            <w:rFonts w:cs="Arial"/>
            <w:szCs w:val="20"/>
            <w:shd w:val="clear" w:color="auto" w:fill="FFFFFF"/>
          </w:rPr>
          <w:id w:val="-2063005349"/>
          <w:placeholder>
            <w:docPart w:val="ED5C1F1B6FC349C3B7748B6F02A4C83E"/>
          </w:placeholder>
          <w:text/>
        </w:sdtPr>
        <w:sdtEndPr/>
        <w:sdtContent>
          <w:r>
            <w:rPr>
              <w:rFonts w:cs="Arial"/>
              <w:szCs w:val="20"/>
              <w:shd w:val="clear" w:color="auto" w:fill="FFFFFF"/>
            </w:rPr>
            <w:t>September 2023</w:t>
          </w:r>
          <w:r w:rsidRPr="00593E2D">
            <w:rPr>
              <w:rFonts w:cs="Arial"/>
              <w:szCs w:val="20"/>
              <w:shd w:val="clear" w:color="auto" w:fill="FFFFFF"/>
            </w:rPr>
            <w:t>.</w:t>
          </w:r>
        </w:sdtContent>
      </w:sdt>
    </w:p>
    <w:p w14:paraId="528920C6" w14:textId="77777777" w:rsidR="001A36BF" w:rsidRPr="00593E2D" w:rsidRDefault="001A36BF" w:rsidP="001A36BF">
      <w:pPr>
        <w:pStyle w:val="ListParagraph"/>
        <w:numPr>
          <w:ilvl w:val="0"/>
          <w:numId w:val="18"/>
        </w:numPr>
        <w:spacing w:after="200"/>
        <w:rPr>
          <w:rFonts w:cs="Arial"/>
          <w:szCs w:val="20"/>
          <w:shd w:val="clear" w:color="auto" w:fill="FFFFFF"/>
        </w:rPr>
      </w:pPr>
      <w:proofErr w:type="spellStart"/>
      <w:r w:rsidRPr="00593E2D">
        <w:rPr>
          <w:rFonts w:cs="Arial"/>
          <w:szCs w:val="20"/>
          <w:shd w:val="clear" w:color="auto" w:fill="FFFFFF"/>
        </w:rPr>
        <w:t>Lumizyme</w:t>
      </w:r>
      <w:proofErr w:type="spellEnd"/>
      <w:r w:rsidRPr="00593E2D">
        <w:rPr>
          <w:rFonts w:cs="Arial"/>
          <w:szCs w:val="20"/>
          <w:shd w:val="clear" w:color="auto" w:fill="FFFFFF"/>
        </w:rPr>
        <w:t xml:space="preserve"> [package insert]. Cambridge, MA: Sanofi Genzyme Corporation; </w:t>
      </w:r>
      <w:r>
        <w:rPr>
          <w:rFonts w:cs="Arial"/>
          <w:szCs w:val="20"/>
          <w:shd w:val="clear" w:color="auto" w:fill="FFFFFF"/>
        </w:rPr>
        <w:t>December 2024.</w:t>
      </w:r>
    </w:p>
    <w:p w14:paraId="71BB30C8" w14:textId="77777777" w:rsidR="001A36BF" w:rsidRPr="00593E2D" w:rsidRDefault="001A36BF" w:rsidP="001A36BF">
      <w:pPr>
        <w:pStyle w:val="ListParagraph"/>
        <w:numPr>
          <w:ilvl w:val="0"/>
          <w:numId w:val="18"/>
        </w:numPr>
        <w:spacing w:after="200"/>
        <w:rPr>
          <w:rFonts w:cs="Arial"/>
          <w:szCs w:val="20"/>
          <w:shd w:val="clear" w:color="auto" w:fill="FFFFFF"/>
        </w:rPr>
      </w:pPr>
      <w:r w:rsidRPr="00593E2D">
        <w:rPr>
          <w:rFonts w:cs="Arial"/>
          <w:color w:val="000000"/>
          <w:szCs w:val="20"/>
          <w:shd w:val="clear" w:color="auto" w:fill="FFFFFF"/>
        </w:rPr>
        <w:t xml:space="preserve">IPD Analytics. Endocrinology and Metabolic Agents: Pompe Disease. </w:t>
      </w:r>
      <w:r>
        <w:rPr>
          <w:rFonts w:cs="Arial"/>
          <w:color w:val="000000"/>
          <w:szCs w:val="20"/>
          <w:shd w:val="clear" w:color="auto" w:fill="FFFFFF"/>
        </w:rPr>
        <w:t>February</w:t>
      </w:r>
      <w:r w:rsidRPr="00593E2D">
        <w:rPr>
          <w:rFonts w:cs="Arial"/>
          <w:color w:val="000000"/>
          <w:szCs w:val="20"/>
          <w:shd w:val="clear" w:color="auto" w:fill="FFFFFF"/>
        </w:rPr>
        <w:t xml:space="preserve"> 202</w:t>
      </w:r>
      <w:r>
        <w:rPr>
          <w:rFonts w:cs="Arial"/>
          <w:color w:val="000000"/>
          <w:szCs w:val="20"/>
          <w:shd w:val="clear" w:color="auto" w:fill="FFFFFF"/>
        </w:rPr>
        <w:t>4</w:t>
      </w:r>
      <w:r w:rsidRPr="00593E2D">
        <w:rPr>
          <w:rFonts w:cs="Arial"/>
          <w:color w:val="000000"/>
          <w:szCs w:val="20"/>
          <w:shd w:val="clear" w:color="auto" w:fill="FFFFFF"/>
        </w:rPr>
        <w:t>.</w:t>
      </w:r>
    </w:p>
    <w:p w14:paraId="354B553A" w14:textId="77777777" w:rsidR="001A36BF" w:rsidRPr="00593E2D" w:rsidRDefault="001A36BF" w:rsidP="001A36BF">
      <w:pPr>
        <w:pStyle w:val="ListParagraph"/>
        <w:numPr>
          <w:ilvl w:val="0"/>
          <w:numId w:val="18"/>
        </w:numPr>
        <w:spacing w:after="200"/>
        <w:rPr>
          <w:rFonts w:cs="Arial"/>
          <w:szCs w:val="20"/>
          <w:shd w:val="clear" w:color="auto" w:fill="FFFFFF"/>
        </w:rPr>
      </w:pPr>
      <w:r w:rsidRPr="00593E2D">
        <w:rPr>
          <w:rStyle w:val="normaltextrun"/>
          <w:rFonts w:cs="Arial"/>
          <w:color w:val="000000"/>
          <w:szCs w:val="20"/>
          <w:shd w:val="clear" w:color="auto" w:fill="FFFFFF"/>
        </w:rPr>
        <w:t xml:space="preserve">IPD Analytics. New Drug Review: </w:t>
      </w:r>
      <w:proofErr w:type="spellStart"/>
      <w:r w:rsidRPr="00593E2D">
        <w:rPr>
          <w:rStyle w:val="normaltextrun"/>
          <w:rFonts w:cs="Arial"/>
          <w:color w:val="000000"/>
          <w:szCs w:val="20"/>
          <w:shd w:val="clear" w:color="auto" w:fill="FFFFFF"/>
        </w:rPr>
        <w:t>Nexviazyme</w:t>
      </w:r>
      <w:proofErr w:type="spellEnd"/>
      <w:r w:rsidRPr="00593E2D">
        <w:rPr>
          <w:rStyle w:val="normaltextrun"/>
          <w:rFonts w:cs="Arial"/>
          <w:color w:val="000000"/>
          <w:szCs w:val="20"/>
          <w:shd w:val="clear" w:color="auto" w:fill="FFFFFF"/>
        </w:rPr>
        <w:t xml:space="preserve"> (</w:t>
      </w:r>
      <w:proofErr w:type="spellStart"/>
      <w:r w:rsidRPr="00593E2D">
        <w:rPr>
          <w:rStyle w:val="normaltextrun"/>
          <w:rFonts w:cs="Arial"/>
          <w:color w:val="000000"/>
          <w:szCs w:val="20"/>
          <w:shd w:val="clear" w:color="auto" w:fill="FFFFFF"/>
        </w:rPr>
        <w:t>avalglucosidase</w:t>
      </w:r>
      <w:proofErr w:type="spellEnd"/>
      <w:r w:rsidRPr="00593E2D">
        <w:rPr>
          <w:rStyle w:val="normaltextrun"/>
          <w:rFonts w:cs="Arial"/>
          <w:color w:val="000000"/>
          <w:szCs w:val="20"/>
          <w:shd w:val="clear" w:color="auto" w:fill="FFFFFF"/>
        </w:rPr>
        <w:t xml:space="preserve"> alfa-</w:t>
      </w:r>
      <w:proofErr w:type="spellStart"/>
      <w:r w:rsidRPr="00593E2D">
        <w:rPr>
          <w:rStyle w:val="normaltextrun"/>
          <w:rFonts w:cs="Arial"/>
          <w:color w:val="000000"/>
          <w:szCs w:val="20"/>
          <w:shd w:val="clear" w:color="auto" w:fill="FFFFFF"/>
        </w:rPr>
        <w:t>ngpt</w:t>
      </w:r>
      <w:proofErr w:type="spellEnd"/>
      <w:r w:rsidRPr="00593E2D">
        <w:rPr>
          <w:rStyle w:val="normaltextrun"/>
          <w:rFonts w:cs="Arial"/>
          <w:color w:val="000000"/>
          <w:szCs w:val="20"/>
          <w:shd w:val="clear" w:color="auto" w:fill="FFFFFF"/>
        </w:rPr>
        <w:t>). August 2021.</w:t>
      </w:r>
    </w:p>
    <w:p w14:paraId="2611738E" w14:textId="77777777" w:rsidR="001A36BF" w:rsidRPr="00593E2D" w:rsidRDefault="001A36BF" w:rsidP="001A36BF">
      <w:pPr>
        <w:pStyle w:val="ListParagraph"/>
        <w:numPr>
          <w:ilvl w:val="0"/>
          <w:numId w:val="18"/>
        </w:numPr>
        <w:spacing w:after="200"/>
        <w:rPr>
          <w:rFonts w:cs="Arial"/>
          <w:szCs w:val="20"/>
          <w:shd w:val="clear" w:color="auto" w:fill="FFFFFF"/>
        </w:rPr>
      </w:pPr>
      <w:r w:rsidRPr="00593E2D">
        <w:rPr>
          <w:rFonts w:cs="Arial"/>
          <w:szCs w:val="20"/>
          <w:shd w:val="clear" w:color="auto" w:fill="FFFFFF"/>
        </w:rPr>
        <w:t xml:space="preserve">Culper E, Berger K, Leshner R, et al. Consensus Treatment Recommendations for Late-Onset Pompe Disease. </w:t>
      </w:r>
      <w:r w:rsidRPr="00593E2D">
        <w:rPr>
          <w:rFonts w:cs="Arial"/>
          <w:i/>
          <w:iCs/>
          <w:szCs w:val="20"/>
          <w:shd w:val="clear" w:color="auto" w:fill="FFFFFF"/>
        </w:rPr>
        <w:t>Muscle Nerve</w:t>
      </w:r>
      <w:r w:rsidRPr="00593E2D">
        <w:rPr>
          <w:rFonts w:cs="Arial"/>
          <w:szCs w:val="20"/>
          <w:shd w:val="clear" w:color="auto" w:fill="FFFFFF"/>
        </w:rPr>
        <w:t xml:space="preserve"> 45:319-333, 2012.</w:t>
      </w:r>
    </w:p>
    <w:p w14:paraId="068ACE21" w14:textId="2CB76046" w:rsidR="001A36BF" w:rsidRDefault="001A36BF" w:rsidP="001A36BF">
      <w:pPr>
        <w:pStyle w:val="ListParagraph"/>
        <w:numPr>
          <w:ilvl w:val="0"/>
          <w:numId w:val="18"/>
        </w:numPr>
        <w:spacing w:after="200"/>
        <w:rPr>
          <w:rFonts w:cs="Arial"/>
          <w:szCs w:val="20"/>
          <w:shd w:val="clear" w:color="auto" w:fill="FFFFFF"/>
        </w:rPr>
      </w:pPr>
      <w:r w:rsidRPr="00593E2D">
        <w:rPr>
          <w:rFonts w:cs="Arial"/>
          <w:szCs w:val="20"/>
          <w:shd w:val="clear" w:color="auto" w:fill="FFFFFF"/>
        </w:rPr>
        <w:t xml:space="preserve">Pompe Disease. National Organization for Rare Disorders. Available online: </w:t>
      </w:r>
      <w:hyperlink r:id="rId11" w:history="1">
        <w:r w:rsidRPr="00593E2D">
          <w:rPr>
            <w:rStyle w:val="Hyperlink"/>
            <w:rFonts w:cs="Arial"/>
            <w:szCs w:val="20"/>
            <w:shd w:val="clear" w:color="auto" w:fill="FFFFFF"/>
          </w:rPr>
          <w:t>https://rarediseases.org/rare-diseases/pompe-disease/</w:t>
        </w:r>
      </w:hyperlink>
      <w:r w:rsidRPr="00593E2D">
        <w:rPr>
          <w:rFonts w:cs="Arial"/>
          <w:szCs w:val="20"/>
          <w:shd w:val="clear" w:color="auto" w:fill="FFFFFF"/>
        </w:rPr>
        <w:t xml:space="preserve">. </w:t>
      </w:r>
      <w:r>
        <w:rPr>
          <w:rFonts w:cs="Arial"/>
          <w:szCs w:val="20"/>
          <w:shd w:val="clear" w:color="auto" w:fill="FFFFFF"/>
        </w:rPr>
        <w:t xml:space="preserve">Last Updated January 18, 2024. </w:t>
      </w:r>
      <w:r w:rsidRPr="00593E2D">
        <w:rPr>
          <w:rFonts w:cs="Arial"/>
          <w:szCs w:val="20"/>
          <w:shd w:val="clear" w:color="auto" w:fill="FFFFFF"/>
        </w:rPr>
        <w:t>Ac</w:t>
      </w:r>
      <w:r>
        <w:rPr>
          <w:rFonts w:cs="Arial"/>
          <w:szCs w:val="20"/>
          <w:shd w:val="clear" w:color="auto" w:fill="FFFFFF"/>
        </w:rPr>
        <w:t xml:space="preserve">cessed: </w:t>
      </w:r>
      <w:r w:rsidR="00087E9B">
        <w:rPr>
          <w:rFonts w:cs="Arial"/>
          <w:szCs w:val="20"/>
          <w:shd w:val="clear" w:color="auto" w:fill="FFFFFF"/>
        </w:rPr>
        <w:t>March 2026</w:t>
      </w:r>
      <w:r>
        <w:rPr>
          <w:rFonts w:cs="Arial"/>
          <w:szCs w:val="20"/>
          <w:shd w:val="clear" w:color="auto" w:fill="FFFFFF"/>
        </w:rPr>
        <w:t>.</w:t>
      </w:r>
    </w:p>
    <w:p w14:paraId="16127CAA" w14:textId="77777777" w:rsidR="001A36BF" w:rsidRPr="003130D1" w:rsidRDefault="001A36BF" w:rsidP="001A36BF">
      <w:pPr>
        <w:pStyle w:val="ListParagraph"/>
        <w:numPr>
          <w:ilvl w:val="0"/>
          <w:numId w:val="18"/>
        </w:numPr>
        <w:spacing w:after="200"/>
        <w:rPr>
          <w:rFonts w:cs="Arial"/>
          <w:szCs w:val="20"/>
          <w:shd w:val="clear" w:color="auto" w:fill="FFFFFF"/>
        </w:rPr>
      </w:pPr>
      <w:proofErr w:type="spellStart"/>
      <w:r>
        <w:rPr>
          <w:rFonts w:cs="Arial"/>
          <w:szCs w:val="20"/>
          <w:shd w:val="clear" w:color="auto" w:fill="FFFFFF"/>
        </w:rPr>
        <w:t>Pombiliti</w:t>
      </w:r>
      <w:proofErr w:type="spellEnd"/>
      <w:r>
        <w:rPr>
          <w:rFonts w:cs="Arial"/>
          <w:szCs w:val="20"/>
          <w:shd w:val="clear" w:color="auto" w:fill="FFFFFF"/>
        </w:rPr>
        <w:t xml:space="preserve"> [</w:t>
      </w:r>
      <w:r w:rsidRPr="00593E2D">
        <w:rPr>
          <w:rFonts w:cs="Arial"/>
          <w:szCs w:val="20"/>
          <w:shd w:val="clear" w:color="auto" w:fill="FFFFFF"/>
        </w:rPr>
        <w:t xml:space="preserve">package insert]. </w:t>
      </w:r>
      <w:sdt>
        <w:sdtPr>
          <w:rPr>
            <w:rFonts w:cs="Arial"/>
            <w:szCs w:val="20"/>
            <w:shd w:val="clear" w:color="auto" w:fill="FFFFFF"/>
          </w:rPr>
          <w:id w:val="649328563"/>
          <w:placeholder>
            <w:docPart w:val="F6DC7EC0572E497DA71FAEBF9B780ED5"/>
          </w:placeholder>
          <w:text/>
        </w:sdtPr>
        <w:sdtEndPr/>
        <w:sdtContent>
          <w:r>
            <w:rPr>
              <w:rFonts w:cs="Arial"/>
              <w:szCs w:val="20"/>
              <w:shd w:val="clear" w:color="auto" w:fill="FFFFFF"/>
            </w:rPr>
            <w:t>Philadelphia, PA</w:t>
          </w:r>
        </w:sdtContent>
      </w:sdt>
      <w:r w:rsidRPr="00593E2D">
        <w:rPr>
          <w:rFonts w:cs="Arial"/>
          <w:szCs w:val="20"/>
          <w:shd w:val="clear" w:color="auto" w:fill="FFFFFF"/>
        </w:rPr>
        <w:t xml:space="preserve">: </w:t>
      </w:r>
      <w:sdt>
        <w:sdtPr>
          <w:rPr>
            <w:rFonts w:cs="Arial"/>
            <w:szCs w:val="20"/>
            <w:shd w:val="clear" w:color="auto" w:fill="FFFFFF"/>
          </w:rPr>
          <w:id w:val="-377633694"/>
          <w:placeholder>
            <w:docPart w:val="24930A8435C04C119BF7F5E5AAAD9E87"/>
          </w:placeholder>
          <w:text/>
        </w:sdtPr>
        <w:sdtEndPr/>
        <w:sdtContent>
          <w:r>
            <w:rPr>
              <w:rFonts w:cs="Arial"/>
              <w:szCs w:val="20"/>
              <w:shd w:val="clear" w:color="auto" w:fill="FFFFFF"/>
            </w:rPr>
            <w:t>Amicus Therapeutics US</w:t>
          </w:r>
        </w:sdtContent>
      </w:sdt>
      <w:r w:rsidRPr="00593E2D">
        <w:rPr>
          <w:rFonts w:cs="Arial"/>
          <w:szCs w:val="20"/>
          <w:shd w:val="clear" w:color="auto" w:fill="FFFFFF"/>
        </w:rPr>
        <w:t xml:space="preserve">; </w:t>
      </w:r>
      <w:sdt>
        <w:sdtPr>
          <w:rPr>
            <w:rFonts w:cs="Arial"/>
            <w:szCs w:val="20"/>
            <w:shd w:val="clear" w:color="auto" w:fill="FFFFFF"/>
          </w:rPr>
          <w:id w:val="1070851019"/>
          <w:placeholder>
            <w:docPart w:val="20F1641062E149F1B090077B7028A145"/>
          </w:placeholder>
          <w:text/>
        </w:sdtPr>
        <w:sdtEndPr/>
        <w:sdtContent>
          <w:r>
            <w:rPr>
              <w:rFonts w:cs="Arial"/>
              <w:szCs w:val="20"/>
              <w:shd w:val="clear" w:color="auto" w:fill="FFFFFF"/>
            </w:rPr>
            <w:t>July 2024.</w:t>
          </w:r>
        </w:sdtContent>
      </w:sdt>
    </w:p>
    <w:p w14:paraId="5E4553D5" w14:textId="77777777" w:rsidR="001A36BF" w:rsidRPr="008D74D1" w:rsidRDefault="001A36BF" w:rsidP="001A36BF">
      <w:pPr>
        <w:pStyle w:val="ListParagraph"/>
        <w:numPr>
          <w:ilvl w:val="0"/>
          <w:numId w:val="18"/>
        </w:numPr>
        <w:spacing w:after="200"/>
        <w:rPr>
          <w:rFonts w:cs="Arial"/>
          <w:szCs w:val="20"/>
          <w:shd w:val="clear" w:color="auto" w:fill="FFFFFF"/>
        </w:rPr>
      </w:pPr>
      <w:proofErr w:type="spellStart"/>
      <w:r>
        <w:rPr>
          <w:rFonts w:cs="Arial"/>
          <w:szCs w:val="20"/>
          <w:shd w:val="clear" w:color="auto" w:fill="FFFFFF"/>
        </w:rPr>
        <w:t>Opfolda</w:t>
      </w:r>
      <w:proofErr w:type="spellEnd"/>
      <w:r>
        <w:rPr>
          <w:rFonts w:cs="Arial"/>
          <w:szCs w:val="20"/>
          <w:shd w:val="clear" w:color="auto" w:fill="FFFFFF"/>
        </w:rPr>
        <w:t xml:space="preserve"> [</w:t>
      </w:r>
      <w:r w:rsidRPr="00593E2D">
        <w:rPr>
          <w:rFonts w:cs="Arial"/>
          <w:szCs w:val="20"/>
          <w:shd w:val="clear" w:color="auto" w:fill="FFFFFF"/>
        </w:rPr>
        <w:t xml:space="preserve">package insert]. </w:t>
      </w:r>
      <w:sdt>
        <w:sdtPr>
          <w:rPr>
            <w:rFonts w:cs="Arial"/>
            <w:szCs w:val="20"/>
            <w:shd w:val="clear" w:color="auto" w:fill="FFFFFF"/>
          </w:rPr>
          <w:id w:val="829790013"/>
          <w:placeholder>
            <w:docPart w:val="4386A2C82C0F4B83863AD8E1F26640F8"/>
          </w:placeholder>
          <w:text/>
        </w:sdtPr>
        <w:sdtEndPr/>
        <w:sdtContent>
          <w:r>
            <w:rPr>
              <w:rFonts w:cs="Arial"/>
              <w:szCs w:val="20"/>
              <w:shd w:val="clear" w:color="auto" w:fill="FFFFFF"/>
            </w:rPr>
            <w:t>Philadelphia, PA</w:t>
          </w:r>
        </w:sdtContent>
      </w:sdt>
      <w:r w:rsidRPr="00593E2D">
        <w:rPr>
          <w:rFonts w:cs="Arial"/>
          <w:szCs w:val="20"/>
          <w:shd w:val="clear" w:color="auto" w:fill="FFFFFF"/>
        </w:rPr>
        <w:t xml:space="preserve">: </w:t>
      </w:r>
      <w:sdt>
        <w:sdtPr>
          <w:rPr>
            <w:rFonts w:cs="Arial"/>
            <w:szCs w:val="20"/>
            <w:shd w:val="clear" w:color="auto" w:fill="FFFFFF"/>
          </w:rPr>
          <w:id w:val="1672987803"/>
          <w:placeholder>
            <w:docPart w:val="433283324B2F4E258536CFC435F0BE8E"/>
          </w:placeholder>
          <w:text/>
        </w:sdtPr>
        <w:sdtEndPr/>
        <w:sdtContent>
          <w:r>
            <w:rPr>
              <w:rFonts w:cs="Arial"/>
              <w:szCs w:val="20"/>
              <w:shd w:val="clear" w:color="auto" w:fill="FFFFFF"/>
            </w:rPr>
            <w:t>Amicus Therapeutics US</w:t>
          </w:r>
        </w:sdtContent>
      </w:sdt>
      <w:r w:rsidRPr="00593E2D">
        <w:rPr>
          <w:rFonts w:cs="Arial"/>
          <w:szCs w:val="20"/>
          <w:shd w:val="clear" w:color="auto" w:fill="FFFFFF"/>
        </w:rPr>
        <w:t xml:space="preserve">; </w:t>
      </w:r>
      <w:sdt>
        <w:sdtPr>
          <w:rPr>
            <w:rFonts w:cs="Arial"/>
            <w:szCs w:val="20"/>
            <w:shd w:val="clear" w:color="auto" w:fill="FFFFFF"/>
          </w:rPr>
          <w:id w:val="-890657653"/>
          <w:placeholder>
            <w:docPart w:val="338230180E0F4863ADFA2EF527136082"/>
          </w:placeholder>
          <w:text/>
        </w:sdtPr>
        <w:sdtEndPr/>
        <w:sdtContent>
          <w:r>
            <w:rPr>
              <w:rFonts w:cs="Arial"/>
              <w:szCs w:val="20"/>
              <w:shd w:val="clear" w:color="auto" w:fill="FFFFFF"/>
            </w:rPr>
            <w:t>July 2024.</w:t>
          </w:r>
        </w:sdtContent>
      </w:sdt>
    </w:p>
    <w:p w14:paraId="3FA1E7DB" w14:textId="7E7ED130" w:rsidR="00777CA4" w:rsidRDefault="00777CA4" w:rsidP="001A36BF">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8759" w14:textId="77777777" w:rsidR="007E7AC0" w:rsidRPr="00C02553" w:rsidRDefault="007E7AC0" w:rsidP="00AE77DB">
      <w:r w:rsidRPr="00C02553">
        <w:separator/>
      </w:r>
    </w:p>
  </w:endnote>
  <w:endnote w:type="continuationSeparator" w:id="0">
    <w:p w14:paraId="4FF853E3" w14:textId="77777777" w:rsidR="007E7AC0" w:rsidRPr="00C02553" w:rsidRDefault="007E7AC0" w:rsidP="00AE77DB">
      <w:r w:rsidRPr="00C02553">
        <w:continuationSeparator/>
      </w:r>
    </w:p>
  </w:endnote>
  <w:endnote w:type="continuationNotice" w:id="1">
    <w:p w14:paraId="7D674697" w14:textId="77777777" w:rsidR="007E7AC0" w:rsidRPr="00C02553" w:rsidRDefault="007E7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1338" w14:textId="77777777" w:rsidR="007E7AC0" w:rsidRPr="00C02553" w:rsidRDefault="007E7AC0" w:rsidP="00AE77DB">
      <w:r w:rsidRPr="00C02553">
        <w:separator/>
      </w:r>
    </w:p>
  </w:footnote>
  <w:footnote w:type="continuationSeparator" w:id="0">
    <w:p w14:paraId="4AC418FB" w14:textId="77777777" w:rsidR="007E7AC0" w:rsidRPr="00C02553" w:rsidRDefault="007E7AC0" w:rsidP="00AE77DB">
      <w:r w:rsidRPr="00C02553">
        <w:continuationSeparator/>
      </w:r>
    </w:p>
  </w:footnote>
  <w:footnote w:type="continuationNotice" w:id="1">
    <w:p w14:paraId="5CA7803F" w14:textId="77777777" w:rsidR="007E7AC0" w:rsidRPr="00C02553" w:rsidRDefault="007E7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231A37">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231A37">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231A37">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A00029"/>
    <w:multiLevelType w:val="hybridMultilevel"/>
    <w:tmpl w:val="C8DC2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1"/>
  </w:num>
  <w:num w:numId="15" w16cid:durableId="1911186802">
    <w:abstractNumId w:val="6"/>
  </w:num>
  <w:num w:numId="16" w16cid:durableId="1907950533">
    <w:abstractNumId w:val="12"/>
  </w:num>
  <w:num w:numId="17" w16cid:durableId="671680756">
    <w:abstractNumId w:val="13"/>
  </w:num>
  <w:num w:numId="18" w16cid:durableId="11667035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TkBp1hZ7LyTM7l58fTKeMLOKml1qtmAuHPITj3XQcirqmWgYGJDtKNCZaS8qLa6C+EFSlFkLgXZXYfyVM5zeXQ==" w:salt="2zCDsoXNHuN+CsKKq5ehR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C22"/>
    <w:rsid w:val="00074464"/>
    <w:rsid w:val="00076030"/>
    <w:rsid w:val="00082590"/>
    <w:rsid w:val="00087E9B"/>
    <w:rsid w:val="000913C3"/>
    <w:rsid w:val="000953B9"/>
    <w:rsid w:val="000A2D17"/>
    <w:rsid w:val="000A413B"/>
    <w:rsid w:val="000A6279"/>
    <w:rsid w:val="000B496B"/>
    <w:rsid w:val="000C3940"/>
    <w:rsid w:val="000C5992"/>
    <w:rsid w:val="000E1479"/>
    <w:rsid w:val="000E2318"/>
    <w:rsid w:val="000E231E"/>
    <w:rsid w:val="000E247D"/>
    <w:rsid w:val="000E6B14"/>
    <w:rsid w:val="000E70D8"/>
    <w:rsid w:val="001062F6"/>
    <w:rsid w:val="00112FC7"/>
    <w:rsid w:val="00120998"/>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81793"/>
    <w:rsid w:val="00182CB5"/>
    <w:rsid w:val="001A36BF"/>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04AE"/>
    <w:rsid w:val="00217E14"/>
    <w:rsid w:val="00217EFD"/>
    <w:rsid w:val="00222134"/>
    <w:rsid w:val="0022233F"/>
    <w:rsid w:val="00226275"/>
    <w:rsid w:val="00231A37"/>
    <w:rsid w:val="00246564"/>
    <w:rsid w:val="00246A3B"/>
    <w:rsid w:val="00250FBF"/>
    <w:rsid w:val="00255404"/>
    <w:rsid w:val="0025594F"/>
    <w:rsid w:val="00270C5E"/>
    <w:rsid w:val="00290A03"/>
    <w:rsid w:val="0029159A"/>
    <w:rsid w:val="00291600"/>
    <w:rsid w:val="002A02F4"/>
    <w:rsid w:val="002C2C41"/>
    <w:rsid w:val="002C62E7"/>
    <w:rsid w:val="002E05E2"/>
    <w:rsid w:val="002E2628"/>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958"/>
    <w:rsid w:val="003B4820"/>
    <w:rsid w:val="003B5F4B"/>
    <w:rsid w:val="003B682F"/>
    <w:rsid w:val="003C53FC"/>
    <w:rsid w:val="003C5714"/>
    <w:rsid w:val="003C7013"/>
    <w:rsid w:val="003D4704"/>
    <w:rsid w:val="003D641B"/>
    <w:rsid w:val="003F227C"/>
    <w:rsid w:val="004023CC"/>
    <w:rsid w:val="00407564"/>
    <w:rsid w:val="00411152"/>
    <w:rsid w:val="00411E3E"/>
    <w:rsid w:val="004156AA"/>
    <w:rsid w:val="004253A1"/>
    <w:rsid w:val="004313B6"/>
    <w:rsid w:val="00433339"/>
    <w:rsid w:val="004447CB"/>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63BC"/>
    <w:rsid w:val="004D78B0"/>
    <w:rsid w:val="004E52F4"/>
    <w:rsid w:val="004E611F"/>
    <w:rsid w:val="004F2A79"/>
    <w:rsid w:val="004F4D37"/>
    <w:rsid w:val="00501A14"/>
    <w:rsid w:val="00501DE3"/>
    <w:rsid w:val="005058CB"/>
    <w:rsid w:val="0051044D"/>
    <w:rsid w:val="005139E4"/>
    <w:rsid w:val="00515075"/>
    <w:rsid w:val="00516D12"/>
    <w:rsid w:val="00520461"/>
    <w:rsid w:val="00520FE9"/>
    <w:rsid w:val="005233E7"/>
    <w:rsid w:val="00526C8D"/>
    <w:rsid w:val="005328B2"/>
    <w:rsid w:val="00535BD5"/>
    <w:rsid w:val="00540977"/>
    <w:rsid w:val="00551668"/>
    <w:rsid w:val="005572D5"/>
    <w:rsid w:val="00566BE4"/>
    <w:rsid w:val="00570D21"/>
    <w:rsid w:val="00576113"/>
    <w:rsid w:val="00584BFA"/>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0700"/>
    <w:rsid w:val="00611E4A"/>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3EDF"/>
    <w:rsid w:val="00734418"/>
    <w:rsid w:val="00757826"/>
    <w:rsid w:val="00762B13"/>
    <w:rsid w:val="007632B7"/>
    <w:rsid w:val="0076382F"/>
    <w:rsid w:val="00765768"/>
    <w:rsid w:val="00765D10"/>
    <w:rsid w:val="00766AC8"/>
    <w:rsid w:val="00767486"/>
    <w:rsid w:val="0077070E"/>
    <w:rsid w:val="0077296A"/>
    <w:rsid w:val="0077458C"/>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E7AC0"/>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31D3"/>
    <w:rsid w:val="00896264"/>
    <w:rsid w:val="008A2549"/>
    <w:rsid w:val="008A5D88"/>
    <w:rsid w:val="008B2851"/>
    <w:rsid w:val="008C000E"/>
    <w:rsid w:val="008D0F2F"/>
    <w:rsid w:val="008D237F"/>
    <w:rsid w:val="008D3FD8"/>
    <w:rsid w:val="008D6B05"/>
    <w:rsid w:val="008E7D2D"/>
    <w:rsid w:val="008F44C0"/>
    <w:rsid w:val="008F4AD0"/>
    <w:rsid w:val="008F5999"/>
    <w:rsid w:val="00903AD6"/>
    <w:rsid w:val="00904D7A"/>
    <w:rsid w:val="00915332"/>
    <w:rsid w:val="009204BB"/>
    <w:rsid w:val="00935918"/>
    <w:rsid w:val="00935EC3"/>
    <w:rsid w:val="00945BC0"/>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910DE"/>
    <w:rsid w:val="00AA70AB"/>
    <w:rsid w:val="00AB0B9F"/>
    <w:rsid w:val="00AB1713"/>
    <w:rsid w:val="00AB63BE"/>
    <w:rsid w:val="00AC1EBC"/>
    <w:rsid w:val="00AC2599"/>
    <w:rsid w:val="00AC2DE9"/>
    <w:rsid w:val="00AC3CD9"/>
    <w:rsid w:val="00AD2C5F"/>
    <w:rsid w:val="00AE1481"/>
    <w:rsid w:val="00AE27F9"/>
    <w:rsid w:val="00AE77DB"/>
    <w:rsid w:val="00AF0FFB"/>
    <w:rsid w:val="00AF7453"/>
    <w:rsid w:val="00B00EDC"/>
    <w:rsid w:val="00B00FFF"/>
    <w:rsid w:val="00B06084"/>
    <w:rsid w:val="00B16735"/>
    <w:rsid w:val="00B17EDE"/>
    <w:rsid w:val="00B22585"/>
    <w:rsid w:val="00B33693"/>
    <w:rsid w:val="00B34C53"/>
    <w:rsid w:val="00B507A5"/>
    <w:rsid w:val="00B52475"/>
    <w:rsid w:val="00B535DA"/>
    <w:rsid w:val="00B56DCC"/>
    <w:rsid w:val="00B56F54"/>
    <w:rsid w:val="00B638C2"/>
    <w:rsid w:val="00B70794"/>
    <w:rsid w:val="00B758AB"/>
    <w:rsid w:val="00B76277"/>
    <w:rsid w:val="00B772AB"/>
    <w:rsid w:val="00B80395"/>
    <w:rsid w:val="00B80B56"/>
    <w:rsid w:val="00B81482"/>
    <w:rsid w:val="00B86372"/>
    <w:rsid w:val="00BA1C17"/>
    <w:rsid w:val="00BA1D65"/>
    <w:rsid w:val="00BB3B4D"/>
    <w:rsid w:val="00BC351E"/>
    <w:rsid w:val="00BC3F77"/>
    <w:rsid w:val="00BC5635"/>
    <w:rsid w:val="00BC5675"/>
    <w:rsid w:val="00BD081C"/>
    <w:rsid w:val="00BD277B"/>
    <w:rsid w:val="00BD47CA"/>
    <w:rsid w:val="00BD62C7"/>
    <w:rsid w:val="00BD7F08"/>
    <w:rsid w:val="00BE020D"/>
    <w:rsid w:val="00BE354A"/>
    <w:rsid w:val="00BF5EEF"/>
    <w:rsid w:val="00C02553"/>
    <w:rsid w:val="00C04EB6"/>
    <w:rsid w:val="00C056F9"/>
    <w:rsid w:val="00C07A7B"/>
    <w:rsid w:val="00C1018C"/>
    <w:rsid w:val="00C1150E"/>
    <w:rsid w:val="00C14D52"/>
    <w:rsid w:val="00C2410F"/>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F00A4"/>
    <w:rsid w:val="00CF25FB"/>
    <w:rsid w:val="00CF614C"/>
    <w:rsid w:val="00D02F34"/>
    <w:rsid w:val="00D13D87"/>
    <w:rsid w:val="00D16590"/>
    <w:rsid w:val="00D20720"/>
    <w:rsid w:val="00D232D9"/>
    <w:rsid w:val="00D250D9"/>
    <w:rsid w:val="00D27533"/>
    <w:rsid w:val="00D34921"/>
    <w:rsid w:val="00D42DA3"/>
    <w:rsid w:val="00D4546D"/>
    <w:rsid w:val="00D47996"/>
    <w:rsid w:val="00D61118"/>
    <w:rsid w:val="00D614F1"/>
    <w:rsid w:val="00D70D50"/>
    <w:rsid w:val="00D71917"/>
    <w:rsid w:val="00D85D2B"/>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0E8E"/>
    <w:rsid w:val="00E915E5"/>
    <w:rsid w:val="00EB0367"/>
    <w:rsid w:val="00EB4FB9"/>
    <w:rsid w:val="00EB5BC8"/>
    <w:rsid w:val="00EC2738"/>
    <w:rsid w:val="00EC4338"/>
    <w:rsid w:val="00ED0709"/>
    <w:rsid w:val="00ED760F"/>
    <w:rsid w:val="00ED7B42"/>
    <w:rsid w:val="00EE3EA5"/>
    <w:rsid w:val="00EE613F"/>
    <w:rsid w:val="00EE6BD1"/>
    <w:rsid w:val="00EF0262"/>
    <w:rsid w:val="00EF0828"/>
    <w:rsid w:val="00EF5E54"/>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1A36BF"/>
    <w:rPr>
      <w:sz w:val="16"/>
      <w:szCs w:val="16"/>
    </w:rPr>
  </w:style>
  <w:style w:type="paragraph" w:styleId="CommentSubject">
    <w:name w:val="annotation subject"/>
    <w:basedOn w:val="CommentText"/>
    <w:next w:val="CommentText"/>
    <w:link w:val="CommentSubjectChar"/>
    <w:uiPriority w:val="99"/>
    <w:semiHidden/>
    <w:unhideWhenUsed/>
    <w:rsid w:val="001A36BF"/>
    <w:rPr>
      <w:b/>
      <w:bCs/>
    </w:rPr>
  </w:style>
  <w:style w:type="character" w:customStyle="1" w:styleId="CommentTextChar">
    <w:name w:val="Comment Text Char"/>
    <w:basedOn w:val="DefaultParagraphFont"/>
    <w:link w:val="CommentText"/>
    <w:semiHidden/>
    <w:rsid w:val="001A36BF"/>
    <w:rPr>
      <w:rFonts w:ascii="Arial" w:hAnsi="Arial"/>
    </w:rPr>
  </w:style>
  <w:style w:type="character" w:customStyle="1" w:styleId="CommentSubjectChar">
    <w:name w:val="Comment Subject Char"/>
    <w:basedOn w:val="CommentTextChar"/>
    <w:link w:val="CommentSubject"/>
    <w:uiPriority w:val="99"/>
    <w:semiHidden/>
    <w:rsid w:val="001A36BF"/>
    <w:rPr>
      <w:rFonts w:ascii="Arial" w:hAnsi="Arial"/>
      <w:b/>
      <w:bCs/>
    </w:rPr>
  </w:style>
  <w:style w:type="character" w:styleId="FollowedHyperlink">
    <w:name w:val="FollowedHyperlink"/>
    <w:basedOn w:val="DefaultParagraphFont"/>
    <w:uiPriority w:val="99"/>
    <w:semiHidden/>
    <w:unhideWhenUsed/>
    <w:rsid w:val="00087E9B"/>
    <w:rPr>
      <w:color w:val="800080" w:themeColor="followedHyperlink"/>
      <w:u w:val="single"/>
    </w:rPr>
  </w:style>
  <w:style w:type="paragraph" w:styleId="Revision">
    <w:name w:val="Revision"/>
    <w:hidden/>
    <w:uiPriority w:val="99"/>
    <w:semiHidden/>
    <w:rsid w:val="002E262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rediseases.org/rare-diseases/pompe-dise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58E133F7043C5981648C6553D5F41"/>
        <w:category>
          <w:name w:val="General"/>
          <w:gallery w:val="placeholder"/>
        </w:category>
        <w:types>
          <w:type w:val="bbPlcHdr"/>
        </w:types>
        <w:behaviors>
          <w:behavior w:val="content"/>
        </w:behaviors>
        <w:guid w:val="{C62CCDBE-F134-4868-853A-629F7CF0A2CF}"/>
      </w:docPartPr>
      <w:docPartBody>
        <w:p w:rsidR="00A448E8" w:rsidRDefault="00A448E8" w:rsidP="00A448E8">
          <w:pPr>
            <w:pStyle w:val="6B358E133F7043C5981648C6553D5F41"/>
          </w:pPr>
          <w:r w:rsidRPr="00790B4B">
            <w:rPr>
              <w:sz w:val="18"/>
              <w:szCs w:val="18"/>
              <w:shd w:val="clear" w:color="auto" w:fill="FFFFFF"/>
            </w:rPr>
            <w:t>Place of publication</w:t>
          </w:r>
        </w:p>
      </w:docPartBody>
    </w:docPart>
    <w:docPart>
      <w:docPartPr>
        <w:name w:val="B0EDCD22A1AE428DA38142DE7D416E40"/>
        <w:category>
          <w:name w:val="General"/>
          <w:gallery w:val="placeholder"/>
        </w:category>
        <w:types>
          <w:type w:val="bbPlcHdr"/>
        </w:types>
        <w:behaviors>
          <w:behavior w:val="content"/>
        </w:behaviors>
        <w:guid w:val="{E1ECB2CA-2E53-49FE-9257-F91ED96C2F7E}"/>
      </w:docPartPr>
      <w:docPartBody>
        <w:p w:rsidR="00A448E8" w:rsidRDefault="00A448E8" w:rsidP="00A448E8">
          <w:pPr>
            <w:pStyle w:val="B0EDCD22A1AE428DA38142DE7D416E40"/>
          </w:pPr>
          <w:r w:rsidRPr="00790B4B">
            <w:rPr>
              <w:sz w:val="18"/>
              <w:szCs w:val="18"/>
              <w:shd w:val="clear" w:color="auto" w:fill="FFFFFF"/>
            </w:rPr>
            <w:t>Publisher</w:t>
          </w:r>
        </w:p>
      </w:docPartBody>
    </w:docPart>
    <w:docPart>
      <w:docPartPr>
        <w:name w:val="ED5C1F1B6FC349C3B7748B6F02A4C83E"/>
        <w:category>
          <w:name w:val="General"/>
          <w:gallery w:val="placeholder"/>
        </w:category>
        <w:types>
          <w:type w:val="bbPlcHdr"/>
        </w:types>
        <w:behaviors>
          <w:behavior w:val="content"/>
        </w:behaviors>
        <w:guid w:val="{595663D0-C930-4188-906E-6E849E2C65DA}"/>
      </w:docPartPr>
      <w:docPartBody>
        <w:p w:rsidR="00A448E8" w:rsidRDefault="00A448E8" w:rsidP="00A448E8">
          <w:pPr>
            <w:pStyle w:val="ED5C1F1B6FC349C3B7748B6F02A4C83E"/>
          </w:pPr>
          <w:r w:rsidRPr="00790B4B">
            <w:rPr>
              <w:sz w:val="18"/>
              <w:szCs w:val="18"/>
              <w:shd w:val="clear" w:color="auto" w:fill="FFFFFF"/>
            </w:rPr>
            <w:t>Year of publication</w:t>
          </w:r>
        </w:p>
      </w:docPartBody>
    </w:docPart>
    <w:docPart>
      <w:docPartPr>
        <w:name w:val="F6DC7EC0572E497DA71FAEBF9B780ED5"/>
        <w:category>
          <w:name w:val="General"/>
          <w:gallery w:val="placeholder"/>
        </w:category>
        <w:types>
          <w:type w:val="bbPlcHdr"/>
        </w:types>
        <w:behaviors>
          <w:behavior w:val="content"/>
        </w:behaviors>
        <w:guid w:val="{612B7DE7-D3B9-41EE-8C28-B1B79FD77C68}"/>
      </w:docPartPr>
      <w:docPartBody>
        <w:p w:rsidR="00A448E8" w:rsidRDefault="00A448E8" w:rsidP="00A448E8">
          <w:pPr>
            <w:pStyle w:val="F6DC7EC0572E497DA71FAEBF9B780ED5"/>
          </w:pPr>
          <w:r w:rsidRPr="00790B4B">
            <w:rPr>
              <w:sz w:val="18"/>
              <w:szCs w:val="18"/>
              <w:shd w:val="clear" w:color="auto" w:fill="FFFFFF"/>
            </w:rPr>
            <w:t>Place of publication</w:t>
          </w:r>
        </w:p>
      </w:docPartBody>
    </w:docPart>
    <w:docPart>
      <w:docPartPr>
        <w:name w:val="24930A8435C04C119BF7F5E5AAAD9E87"/>
        <w:category>
          <w:name w:val="General"/>
          <w:gallery w:val="placeholder"/>
        </w:category>
        <w:types>
          <w:type w:val="bbPlcHdr"/>
        </w:types>
        <w:behaviors>
          <w:behavior w:val="content"/>
        </w:behaviors>
        <w:guid w:val="{EA0BC515-28A9-4A17-B121-FDF89B9A20A9}"/>
      </w:docPartPr>
      <w:docPartBody>
        <w:p w:rsidR="00A448E8" w:rsidRDefault="00A448E8" w:rsidP="00A448E8">
          <w:pPr>
            <w:pStyle w:val="24930A8435C04C119BF7F5E5AAAD9E87"/>
          </w:pPr>
          <w:r w:rsidRPr="00790B4B">
            <w:rPr>
              <w:sz w:val="18"/>
              <w:szCs w:val="18"/>
              <w:shd w:val="clear" w:color="auto" w:fill="FFFFFF"/>
            </w:rPr>
            <w:t>Publisher</w:t>
          </w:r>
        </w:p>
      </w:docPartBody>
    </w:docPart>
    <w:docPart>
      <w:docPartPr>
        <w:name w:val="20F1641062E149F1B090077B7028A145"/>
        <w:category>
          <w:name w:val="General"/>
          <w:gallery w:val="placeholder"/>
        </w:category>
        <w:types>
          <w:type w:val="bbPlcHdr"/>
        </w:types>
        <w:behaviors>
          <w:behavior w:val="content"/>
        </w:behaviors>
        <w:guid w:val="{73478262-5628-4214-8F10-2DFEAC72D64D}"/>
      </w:docPartPr>
      <w:docPartBody>
        <w:p w:rsidR="00A448E8" w:rsidRDefault="00A448E8" w:rsidP="00A448E8">
          <w:pPr>
            <w:pStyle w:val="20F1641062E149F1B090077B7028A145"/>
          </w:pPr>
          <w:r w:rsidRPr="00790B4B">
            <w:rPr>
              <w:sz w:val="18"/>
              <w:szCs w:val="18"/>
              <w:shd w:val="clear" w:color="auto" w:fill="FFFFFF"/>
            </w:rPr>
            <w:t>Year of publication</w:t>
          </w:r>
        </w:p>
      </w:docPartBody>
    </w:docPart>
    <w:docPart>
      <w:docPartPr>
        <w:name w:val="4386A2C82C0F4B83863AD8E1F26640F8"/>
        <w:category>
          <w:name w:val="General"/>
          <w:gallery w:val="placeholder"/>
        </w:category>
        <w:types>
          <w:type w:val="bbPlcHdr"/>
        </w:types>
        <w:behaviors>
          <w:behavior w:val="content"/>
        </w:behaviors>
        <w:guid w:val="{15617528-B31C-4F30-B8FE-74565C324C3D}"/>
      </w:docPartPr>
      <w:docPartBody>
        <w:p w:rsidR="00A448E8" w:rsidRDefault="00A448E8" w:rsidP="00A448E8">
          <w:pPr>
            <w:pStyle w:val="4386A2C82C0F4B83863AD8E1F26640F8"/>
          </w:pPr>
          <w:r w:rsidRPr="00790B4B">
            <w:rPr>
              <w:sz w:val="18"/>
              <w:szCs w:val="18"/>
              <w:shd w:val="clear" w:color="auto" w:fill="FFFFFF"/>
            </w:rPr>
            <w:t>Place of publication</w:t>
          </w:r>
        </w:p>
      </w:docPartBody>
    </w:docPart>
    <w:docPart>
      <w:docPartPr>
        <w:name w:val="433283324B2F4E258536CFC435F0BE8E"/>
        <w:category>
          <w:name w:val="General"/>
          <w:gallery w:val="placeholder"/>
        </w:category>
        <w:types>
          <w:type w:val="bbPlcHdr"/>
        </w:types>
        <w:behaviors>
          <w:behavior w:val="content"/>
        </w:behaviors>
        <w:guid w:val="{398CC8A4-9CA5-4540-B7A5-5763C5CEA602}"/>
      </w:docPartPr>
      <w:docPartBody>
        <w:p w:rsidR="00A448E8" w:rsidRDefault="00A448E8" w:rsidP="00A448E8">
          <w:pPr>
            <w:pStyle w:val="433283324B2F4E258536CFC435F0BE8E"/>
          </w:pPr>
          <w:r w:rsidRPr="00790B4B">
            <w:rPr>
              <w:sz w:val="18"/>
              <w:szCs w:val="18"/>
              <w:shd w:val="clear" w:color="auto" w:fill="FFFFFF"/>
            </w:rPr>
            <w:t>Publisher</w:t>
          </w:r>
        </w:p>
      </w:docPartBody>
    </w:docPart>
    <w:docPart>
      <w:docPartPr>
        <w:name w:val="338230180E0F4863ADFA2EF527136082"/>
        <w:category>
          <w:name w:val="General"/>
          <w:gallery w:val="placeholder"/>
        </w:category>
        <w:types>
          <w:type w:val="bbPlcHdr"/>
        </w:types>
        <w:behaviors>
          <w:behavior w:val="content"/>
        </w:behaviors>
        <w:guid w:val="{8F71E118-FF87-432D-B7A2-248CF2B7FED4}"/>
      </w:docPartPr>
      <w:docPartBody>
        <w:p w:rsidR="00A448E8" w:rsidRDefault="00A448E8" w:rsidP="00A448E8">
          <w:pPr>
            <w:pStyle w:val="338230180E0F4863ADFA2EF527136082"/>
          </w:pPr>
          <w:r w:rsidRPr="00790B4B">
            <w:rPr>
              <w:sz w:val="18"/>
              <w:szCs w:val="18"/>
              <w:shd w:val="clear" w:color="auto" w:fill="FFFFFF"/>
            </w:rPr>
            <w:t>Year of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E8"/>
    <w:rsid w:val="002104AE"/>
    <w:rsid w:val="004447CB"/>
    <w:rsid w:val="00610700"/>
    <w:rsid w:val="009575DF"/>
    <w:rsid w:val="00A448E8"/>
    <w:rsid w:val="00AF0FFB"/>
    <w:rsid w:val="00CC39F5"/>
    <w:rsid w:val="00D85D2B"/>
    <w:rsid w:val="00EC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358E133F7043C5981648C6553D5F41">
    <w:name w:val="6B358E133F7043C5981648C6553D5F41"/>
    <w:rsid w:val="00A448E8"/>
  </w:style>
  <w:style w:type="paragraph" w:customStyle="1" w:styleId="B0EDCD22A1AE428DA38142DE7D416E40">
    <w:name w:val="B0EDCD22A1AE428DA38142DE7D416E40"/>
    <w:rsid w:val="00A448E8"/>
  </w:style>
  <w:style w:type="paragraph" w:customStyle="1" w:styleId="ED5C1F1B6FC349C3B7748B6F02A4C83E">
    <w:name w:val="ED5C1F1B6FC349C3B7748B6F02A4C83E"/>
    <w:rsid w:val="00A448E8"/>
  </w:style>
  <w:style w:type="paragraph" w:customStyle="1" w:styleId="F6DC7EC0572E497DA71FAEBF9B780ED5">
    <w:name w:val="F6DC7EC0572E497DA71FAEBF9B780ED5"/>
    <w:rsid w:val="00A448E8"/>
  </w:style>
  <w:style w:type="paragraph" w:customStyle="1" w:styleId="24930A8435C04C119BF7F5E5AAAD9E87">
    <w:name w:val="24930A8435C04C119BF7F5E5AAAD9E87"/>
    <w:rsid w:val="00A448E8"/>
  </w:style>
  <w:style w:type="paragraph" w:customStyle="1" w:styleId="20F1641062E149F1B090077B7028A145">
    <w:name w:val="20F1641062E149F1B090077B7028A145"/>
    <w:rsid w:val="00A448E8"/>
  </w:style>
  <w:style w:type="paragraph" w:customStyle="1" w:styleId="4386A2C82C0F4B83863AD8E1F26640F8">
    <w:name w:val="4386A2C82C0F4B83863AD8E1F26640F8"/>
    <w:rsid w:val="00A448E8"/>
  </w:style>
  <w:style w:type="paragraph" w:customStyle="1" w:styleId="433283324B2F4E258536CFC435F0BE8E">
    <w:name w:val="433283324B2F4E258536CFC435F0BE8E"/>
    <w:rsid w:val="00A448E8"/>
  </w:style>
  <w:style w:type="paragraph" w:customStyle="1" w:styleId="338230180E0F4863ADFA2EF527136082">
    <w:name w:val="338230180E0F4863ADFA2EF527136082"/>
    <w:rsid w:val="00A44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9C03A091-6407-4631-A68D-F4F33A331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800</Words>
  <Characters>4774</Characters>
  <Application>Microsoft Office Word</Application>
  <DocSecurity>10</DocSecurity>
  <Lines>39</Lines>
  <Paragraphs>11</Paragraphs>
  <ScaleCrop>false</ScaleCrop>
  <HeadingPairs>
    <vt:vector size="2" baseType="variant">
      <vt:variant>
        <vt:lpstr>Title</vt:lpstr>
      </vt:variant>
      <vt:variant>
        <vt:i4>1</vt:i4>
      </vt:variant>
    </vt:vector>
  </HeadingPairs>
  <TitlesOfParts>
    <vt:vector size="1" baseType="lpstr">
      <vt:lpstr>Pompe CE</vt:lpstr>
    </vt:vector>
  </TitlesOfParts>
  <Company>DSS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Pompe CE</dc:title>
  <dc:subject/>
  <dc:creator>DMS</dc:creator>
  <cp:keywords/>
  <cp:lastModifiedBy>Heriford, Katherine</cp:lastModifiedBy>
  <cp:revision>40</cp:revision>
  <cp:lastPrinted>2018-10-31T18:17:00Z</cp:lastPrinted>
  <dcterms:created xsi:type="dcterms:W3CDTF">2025-11-19T15:39:00Z</dcterms:created>
  <dcterms:modified xsi:type="dcterms:W3CDTF">2026-04-02T22:25:00Z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