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95AA222" w:rsidR="004C5767" w:rsidRPr="008859E1" w:rsidRDefault="004C5767" w:rsidP="00D27533">
      <w:pPr>
        <w:pStyle w:val="tbody"/>
        <w:rPr>
          <w:b w:val="0"/>
          <w:bCs/>
        </w:rPr>
      </w:pPr>
      <w:r w:rsidRPr="00C02553">
        <w:t>Drug/Drug Class:</w:t>
      </w:r>
      <w:r w:rsidR="003B4820">
        <w:t xml:space="preserve"> </w:t>
      </w:r>
      <w:proofErr w:type="spellStart"/>
      <w:r w:rsidR="00794D2F" w:rsidRPr="00794D2F">
        <w:rPr>
          <w:b w:val="0"/>
          <w:bCs/>
        </w:rPr>
        <w:t>Nulibry</w:t>
      </w:r>
      <w:proofErr w:type="spellEnd"/>
      <w:r w:rsidR="00794D2F" w:rsidRPr="00794D2F">
        <w:rPr>
          <w:b w:val="0"/>
          <w:bCs/>
        </w:rPr>
        <w:t xml:space="preserve"> Clinical Edit</w:t>
      </w:r>
    </w:p>
    <w:p w14:paraId="7AD7FFCE" w14:textId="596DAAB3" w:rsidR="004C5767" w:rsidRPr="00C02553" w:rsidRDefault="004C5767" w:rsidP="00D27533">
      <w:pPr>
        <w:pStyle w:val="tbody"/>
      </w:pPr>
      <w:r w:rsidRPr="00C02553">
        <w:t xml:space="preserve">First Implementation Date: </w:t>
      </w:r>
      <w:r w:rsidR="00AC65F8" w:rsidRPr="00AC65F8">
        <w:rPr>
          <w:b w:val="0"/>
          <w:bCs/>
        </w:rPr>
        <w:t>November 18, 2021</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14A993F" w:rsidR="004C5767" w:rsidRPr="00D27533" w:rsidRDefault="004C5767" w:rsidP="00D27533">
      <w:pPr>
        <w:pStyle w:val="tbody"/>
        <w:rPr>
          <w:b w:val="0"/>
          <w:bCs/>
          <w:spacing w:val="-3"/>
        </w:rPr>
      </w:pPr>
      <w:r w:rsidRPr="00C02553">
        <w:t xml:space="preserve">Criteria Status: </w:t>
      </w:r>
      <w:r w:rsidR="00566BE4" w:rsidRPr="0012147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023AFC60" w:rsidR="00D47996" w:rsidRDefault="79EEA449" w:rsidP="00696E3A">
      <w:r>
        <w:t>Ensure appropriate utilization and control of</w:t>
      </w:r>
      <w:r w:rsidR="00D47996">
        <w:t xml:space="preserve"> </w:t>
      </w:r>
      <w:r w:rsidR="00693B07">
        <w:rPr>
          <w:rFonts w:cs="Arial"/>
          <w:spacing w:val="-3"/>
        </w:rPr>
        <w:t>Nulibry</w:t>
      </w:r>
      <w:r w:rsidR="00693B07" w:rsidRPr="009F4351">
        <w:rPr>
          <w:rFonts w:cs="Arial"/>
          <w:spacing w:val="-3"/>
          <w:vertAlign w:val="superscript"/>
        </w:rPr>
        <w:t>®</w:t>
      </w:r>
      <w:r w:rsidR="00693B07">
        <w:rPr>
          <w:rFonts w:cs="Arial"/>
          <w:spacing w:val="-3"/>
          <w:vertAlign w:val="superscript"/>
        </w:rPr>
        <w:t xml:space="preserve"> </w:t>
      </w:r>
      <w:r w:rsidR="00693B07">
        <w:rPr>
          <w:rFonts w:cs="Arial"/>
          <w:spacing w:val="-3"/>
        </w:rPr>
        <w:t>(fosdenopterin)</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6514C4B" w14:textId="77777777" w:rsidR="00CA1CD8" w:rsidRDefault="00CA1CD8" w:rsidP="00CA1CD8">
      <w:pPr>
        <w:pStyle w:val="Header"/>
        <w:rPr>
          <w:color w:val="000000" w:themeColor="text1"/>
          <w:sz w:val="20"/>
        </w:rPr>
      </w:pPr>
      <w:r>
        <w:rPr>
          <w:rFonts w:cs="Arial"/>
          <w:spacing w:val="-3"/>
          <w:sz w:val="20"/>
        </w:rPr>
        <w:t>On February 26, 2021, Nulibry</w:t>
      </w:r>
      <w:r w:rsidRPr="009F4351">
        <w:rPr>
          <w:rFonts w:cs="Arial"/>
          <w:spacing w:val="-3"/>
          <w:sz w:val="20"/>
          <w:vertAlign w:val="superscript"/>
        </w:rPr>
        <w:t>®</w:t>
      </w:r>
      <w:r>
        <w:rPr>
          <w:rFonts w:cs="Arial"/>
          <w:spacing w:val="-3"/>
          <w:sz w:val="20"/>
        </w:rPr>
        <w:t xml:space="preserve"> became the first FDA-approved agent to reduce the risk of mortality in patients with molybdenum cofactor deficiency (MoCD) Type A, a rare condition that is estimated to occur in 1 in 100,000 - 200,000 newborns worldwide. Three types of MoCD have been classified: Type A, Type B, and Type C. Type A, the most common type, is an </w:t>
      </w:r>
      <w:r w:rsidRPr="00581614">
        <w:rPr>
          <w:color w:val="000000" w:themeColor="text1"/>
          <w:sz w:val="20"/>
        </w:rPr>
        <w:t>autosomal recessive condition caused by a mutation in the molybdenum cofactor synthesis 1 (</w:t>
      </w:r>
      <w:r w:rsidRPr="00581614">
        <w:rPr>
          <w:i/>
          <w:iCs/>
          <w:color w:val="000000" w:themeColor="text1"/>
          <w:sz w:val="20"/>
        </w:rPr>
        <w:t>MOCS1)</w:t>
      </w:r>
      <w:r w:rsidRPr="00581614">
        <w:rPr>
          <w:color w:val="000000" w:themeColor="text1"/>
          <w:sz w:val="20"/>
        </w:rPr>
        <w:t xml:space="preserve"> gene</w:t>
      </w:r>
      <w:r>
        <w:rPr>
          <w:color w:val="000000" w:themeColor="text1"/>
          <w:sz w:val="20"/>
        </w:rPr>
        <w:t xml:space="preserve"> which leads to deficient synthesis of cyclic pyranopterin monophosphate (cPMP)</w:t>
      </w:r>
      <w:r w:rsidRPr="00581614">
        <w:rPr>
          <w:color w:val="000000" w:themeColor="text1"/>
          <w:sz w:val="20"/>
        </w:rPr>
        <w:t xml:space="preserve">. </w:t>
      </w:r>
      <w:r>
        <w:rPr>
          <w:color w:val="000000" w:themeColor="text1"/>
          <w:sz w:val="20"/>
        </w:rPr>
        <w:t xml:space="preserve">The resultant downstream effect of the DNA sequence </w:t>
      </w:r>
      <w:r w:rsidRPr="005648E3">
        <w:rPr>
          <w:color w:val="000000" w:themeColor="text1"/>
          <w:sz w:val="20"/>
        </w:rPr>
        <w:t>change is a buildup of the neurotoxic metabolite S-sulfocysteine (SSC), which leads to rapid and irreversible neurological damage. Patients with the classical severe form of MoCD are normally asymptomatic at birth, but within a few hours to days develop early signs and symptoms of encephalopathy, intractable seizures, and feeding difficulties that are characteristic of this rapidly progressing disorder. Children with MoCD that survive beyond the first few months of life usually experience irreversible brain damage coupled with severe developmental delays. Without intervention, the median age of survival of children with MoCD is only 4 years.</w:t>
      </w:r>
    </w:p>
    <w:p w14:paraId="67E8B196" w14:textId="77777777" w:rsidR="00CA1CD8" w:rsidRDefault="00CA1CD8" w:rsidP="00CA1CD8">
      <w:pPr>
        <w:pStyle w:val="Header"/>
        <w:rPr>
          <w:color w:val="000000" w:themeColor="text1"/>
          <w:sz w:val="20"/>
        </w:rPr>
      </w:pPr>
    </w:p>
    <w:p w14:paraId="64F1A740" w14:textId="77777777" w:rsidR="00CA1CD8" w:rsidRDefault="00CA1CD8" w:rsidP="00CA1CD8">
      <w:pPr>
        <w:pStyle w:val="Header"/>
        <w:rPr>
          <w:color w:val="000000" w:themeColor="text1"/>
          <w:sz w:val="20"/>
        </w:rPr>
      </w:pPr>
      <w:r>
        <w:rPr>
          <w:color w:val="000000" w:themeColor="text1"/>
          <w:sz w:val="20"/>
        </w:rPr>
        <w:t xml:space="preserve">Prior to Nulibry, no therapeutic alternatives existed beyond supportive therapies, such as those for the management of seizures. Nulibry, administered as a once daily intravenous infusion, functions as a substrate replacement therapy by providing an exogeneous source of cPMP. Clinical trials demonstrated an increased 3-year survival rate of 84% vs 55% in patients treated with Nulibry compared to those from a natural history study. The most common side effects were catheter-related complications, pyrexia, and viral infections. </w:t>
      </w:r>
    </w:p>
    <w:p w14:paraId="25AA2156" w14:textId="77777777" w:rsidR="00CA1CD8" w:rsidRDefault="00CA1CD8" w:rsidP="00CA1CD8">
      <w:pPr>
        <w:pStyle w:val="Header"/>
        <w:rPr>
          <w:color w:val="000000" w:themeColor="text1"/>
          <w:sz w:val="20"/>
        </w:rPr>
      </w:pPr>
    </w:p>
    <w:p w14:paraId="7ACECC9F" w14:textId="0ACDA6FA" w:rsidR="00B56DCC" w:rsidRDefault="00CA1CD8" w:rsidP="00CA1CD8">
      <w:pPr>
        <w:rPr>
          <w:rFonts w:cs="Arial"/>
          <w:spacing w:val="-3"/>
        </w:rPr>
      </w:pPr>
      <w:r w:rsidRPr="000A31FF">
        <w:rPr>
          <w:rFonts w:cs="Arial"/>
          <w:spacing w:val="-3"/>
        </w:rPr>
        <w:t xml:space="preserve">Due to the high cost and specific approved indication, MO HealthNet will impose clinical criteria to ensure appropriate utilization of </w:t>
      </w:r>
      <w:r>
        <w:rPr>
          <w:rFonts w:cs="Arial"/>
          <w:spacing w:val="-3"/>
        </w:rPr>
        <w:t>Nulibry</w:t>
      </w:r>
      <w:r w:rsidRPr="000A31FF">
        <w:rPr>
          <w:rFonts w:cs="Arial"/>
          <w:spacing w:val="-3"/>
        </w:rPr>
        <w:t>.</w:t>
      </w:r>
    </w:p>
    <w:p w14:paraId="152D4DAD" w14:textId="77777777" w:rsidR="00CA1CD8" w:rsidRDefault="00CA1CD8" w:rsidP="00CA1CD8"/>
    <w:p w14:paraId="5B5260CF" w14:textId="18418E2A" w:rsidR="003D4704" w:rsidRPr="00AD17B7" w:rsidRDefault="003D4704" w:rsidP="003D4704">
      <w:r>
        <w:rPr>
          <w:b/>
          <w:bCs/>
        </w:rPr>
        <w:t xml:space="preserve">Program-Specific Information: </w:t>
      </w:r>
      <w:r w:rsidR="0047101A">
        <w:t xml:space="preserve">Date Range FFS </w:t>
      </w:r>
      <w:r w:rsidR="0047101A" w:rsidRPr="00C5484C">
        <w:t>1-1-2025 to 12-31-2025</w:t>
      </w:r>
    </w:p>
    <w:tbl>
      <w:tblPr>
        <w:tblW w:w="9810" w:type="dxa"/>
        <w:tblInd w:w="-365" w:type="dxa"/>
        <w:tblLayout w:type="fixed"/>
        <w:tblLook w:val="04A0" w:firstRow="1" w:lastRow="0" w:firstColumn="1" w:lastColumn="0" w:noHBand="0" w:noVBand="1"/>
      </w:tblPr>
      <w:tblGrid>
        <w:gridCol w:w="2905"/>
        <w:gridCol w:w="1672"/>
        <w:gridCol w:w="1895"/>
        <w:gridCol w:w="3338"/>
      </w:tblGrid>
      <w:tr w:rsidR="00950E90" w:rsidRPr="00601498" w14:paraId="17C7A25D" w14:textId="77777777" w:rsidTr="006C53D3">
        <w:trPr>
          <w:trHeight w:val="165"/>
        </w:trPr>
        <w:tc>
          <w:tcPr>
            <w:tcW w:w="23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E555187" w14:textId="77777777" w:rsidR="00950E90" w:rsidRPr="00601498" w:rsidRDefault="00950E90" w:rsidP="006C53D3">
            <w:pPr>
              <w:jc w:val="center"/>
              <w:rPr>
                <w:rFonts w:cs="Arial"/>
                <w:b/>
                <w:spacing w:val="-3"/>
                <w:szCs w:val="20"/>
              </w:rPr>
            </w:pPr>
            <w:r w:rsidRPr="00601498">
              <w:rPr>
                <w:rFonts w:cs="Arial"/>
                <w:b/>
                <w:spacing w:val="-3"/>
                <w:szCs w:val="20"/>
              </w:rPr>
              <w:t>Drug</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A25AC11" w14:textId="77777777" w:rsidR="00950E90" w:rsidRPr="0037444A" w:rsidRDefault="00950E90" w:rsidP="006C53D3">
            <w:pPr>
              <w:jc w:val="center"/>
              <w:rPr>
                <w:rFonts w:cs="Arial"/>
                <w:b/>
                <w:spacing w:val="-3"/>
                <w:szCs w:val="20"/>
              </w:rPr>
            </w:pPr>
            <w:r>
              <w:rPr>
                <w:rFonts w:cs="Arial"/>
                <w:b/>
                <w:spacing w:val="-3"/>
                <w:szCs w:val="20"/>
              </w:rPr>
              <w:t>Participants</w:t>
            </w:r>
          </w:p>
        </w:tc>
        <w:tc>
          <w:tcPr>
            <w:tcW w:w="153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46E41E" w14:textId="77777777" w:rsidR="00950E90" w:rsidRPr="00601498" w:rsidRDefault="00950E90" w:rsidP="006C53D3">
            <w:pPr>
              <w:jc w:val="center"/>
              <w:rPr>
                <w:rFonts w:cs="Arial"/>
                <w:b/>
                <w:spacing w:val="-3"/>
                <w:szCs w:val="20"/>
              </w:rPr>
            </w:pPr>
            <w:r w:rsidRPr="00601498">
              <w:rPr>
                <w:rFonts w:cs="Arial"/>
                <w:b/>
                <w:spacing w:val="-3"/>
                <w:szCs w:val="20"/>
              </w:rPr>
              <w:t>Cost per vial</w:t>
            </w:r>
          </w:p>
        </w:tc>
        <w:tc>
          <w:tcPr>
            <w:tcW w:w="269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4AA0180" w14:textId="77777777" w:rsidR="00950E90" w:rsidRPr="00601498" w:rsidRDefault="00950E90" w:rsidP="006C53D3">
            <w:pPr>
              <w:jc w:val="center"/>
              <w:rPr>
                <w:rFonts w:cs="Arial"/>
                <w:b/>
                <w:spacing w:val="-3"/>
                <w:szCs w:val="20"/>
              </w:rPr>
            </w:pPr>
            <w:r w:rsidRPr="00601498">
              <w:rPr>
                <w:rFonts w:cs="Arial"/>
                <w:b/>
                <w:spacing w:val="-3"/>
                <w:szCs w:val="20"/>
              </w:rPr>
              <w:t>Cost per year</w:t>
            </w:r>
          </w:p>
          <w:p w14:paraId="39088AF5" w14:textId="77777777" w:rsidR="00950E90" w:rsidRPr="00601498" w:rsidRDefault="00950E90" w:rsidP="006C53D3">
            <w:pPr>
              <w:jc w:val="center"/>
              <w:rPr>
                <w:rFonts w:cs="Arial"/>
                <w:b/>
                <w:spacing w:val="-3"/>
                <w:szCs w:val="20"/>
              </w:rPr>
            </w:pPr>
            <w:r w:rsidRPr="00601498">
              <w:rPr>
                <w:rFonts w:cs="Arial"/>
                <w:b/>
                <w:spacing w:val="-3"/>
                <w:sz w:val="16"/>
                <w:szCs w:val="16"/>
              </w:rPr>
              <w:t>(maintenance dosing based on a 20 kg patient)</w:t>
            </w:r>
          </w:p>
        </w:tc>
      </w:tr>
      <w:tr w:rsidR="00950E90" w:rsidRPr="00601498" w14:paraId="3781A78F" w14:textId="77777777" w:rsidTr="006C53D3">
        <w:tc>
          <w:tcPr>
            <w:tcW w:w="2345" w:type="dxa"/>
            <w:tcBorders>
              <w:top w:val="single" w:sz="4" w:space="0" w:color="auto"/>
              <w:left w:val="single" w:sz="4" w:space="0" w:color="auto"/>
              <w:bottom w:val="single" w:sz="4" w:space="0" w:color="auto"/>
              <w:right w:val="single" w:sz="4" w:space="0" w:color="auto"/>
            </w:tcBorders>
            <w:vAlign w:val="center"/>
          </w:tcPr>
          <w:p w14:paraId="60AC7697" w14:textId="77777777" w:rsidR="00950E90" w:rsidRPr="00601498" w:rsidRDefault="00950E90" w:rsidP="006C53D3">
            <w:pPr>
              <w:rPr>
                <w:rFonts w:cs="Arial"/>
                <w:spacing w:val="-3"/>
                <w:szCs w:val="20"/>
              </w:rPr>
            </w:pPr>
            <w:r w:rsidRPr="00601498">
              <w:rPr>
                <w:rFonts w:cs="Arial"/>
                <w:spacing w:val="-3"/>
                <w:szCs w:val="20"/>
              </w:rPr>
              <w:t>NULIBRY 9.5 MG VIAL</w:t>
            </w:r>
          </w:p>
        </w:tc>
        <w:tc>
          <w:tcPr>
            <w:tcW w:w="1350" w:type="dxa"/>
            <w:tcBorders>
              <w:top w:val="single" w:sz="4" w:space="0" w:color="auto"/>
              <w:left w:val="single" w:sz="4" w:space="0" w:color="auto"/>
              <w:bottom w:val="single" w:sz="4" w:space="0" w:color="auto"/>
              <w:right w:val="single" w:sz="4" w:space="0" w:color="auto"/>
            </w:tcBorders>
            <w:vAlign w:val="center"/>
          </w:tcPr>
          <w:p w14:paraId="534E7085" w14:textId="77777777" w:rsidR="00950E90" w:rsidRPr="00601498" w:rsidRDefault="00950E90" w:rsidP="006C53D3">
            <w:pPr>
              <w:jc w:val="center"/>
              <w:rPr>
                <w:rFonts w:cs="Arial"/>
                <w:spacing w:val="-3"/>
                <w:szCs w:val="20"/>
              </w:rPr>
            </w:pPr>
            <w:r>
              <w:rPr>
                <w:rFonts w:cs="Arial"/>
                <w:spacing w:val="-3"/>
                <w:szCs w:val="20"/>
              </w:rPr>
              <w:t>0</w:t>
            </w:r>
          </w:p>
        </w:tc>
        <w:tc>
          <w:tcPr>
            <w:tcW w:w="1530" w:type="dxa"/>
            <w:tcBorders>
              <w:top w:val="single" w:sz="4" w:space="0" w:color="auto"/>
              <w:left w:val="single" w:sz="4" w:space="0" w:color="auto"/>
              <w:bottom w:val="single" w:sz="4" w:space="0" w:color="auto"/>
              <w:right w:val="single" w:sz="4" w:space="0" w:color="auto"/>
            </w:tcBorders>
            <w:vAlign w:val="center"/>
          </w:tcPr>
          <w:p w14:paraId="033F8D37" w14:textId="52A26922" w:rsidR="00950E90" w:rsidRPr="00601498" w:rsidRDefault="00950E90" w:rsidP="006C53D3">
            <w:pPr>
              <w:jc w:val="center"/>
              <w:rPr>
                <w:rFonts w:cs="Arial"/>
                <w:spacing w:val="-3"/>
                <w:szCs w:val="20"/>
              </w:rPr>
            </w:pPr>
            <w:r w:rsidRPr="00601498">
              <w:rPr>
                <w:rFonts w:cs="Arial"/>
                <w:spacing w:val="-3"/>
                <w:szCs w:val="20"/>
              </w:rPr>
              <w:t>$</w:t>
            </w:r>
            <w:r>
              <w:rPr>
                <w:rFonts w:cs="Arial"/>
                <w:spacing w:val="-3"/>
                <w:szCs w:val="20"/>
              </w:rPr>
              <w:t>1,5</w:t>
            </w:r>
            <w:r w:rsidR="00ED2741">
              <w:rPr>
                <w:rFonts w:cs="Arial"/>
                <w:spacing w:val="-3"/>
                <w:szCs w:val="20"/>
              </w:rPr>
              <w:t>90</w:t>
            </w:r>
            <w:r>
              <w:rPr>
                <w:rFonts w:cs="Arial"/>
                <w:spacing w:val="-3"/>
                <w:szCs w:val="20"/>
              </w:rPr>
              <w:t xml:space="preserve"> </w:t>
            </w:r>
            <w:r w:rsidRPr="00CD67FF">
              <w:rPr>
                <w:rFonts w:cs="Arial"/>
                <w:spacing w:val="-3"/>
                <w:sz w:val="16"/>
                <w:szCs w:val="16"/>
              </w:rPr>
              <w:t>M</w:t>
            </w:r>
            <w:r w:rsidRPr="00601498">
              <w:rPr>
                <w:rFonts w:cs="Arial"/>
                <w:spacing w:val="-3"/>
                <w:sz w:val="16"/>
                <w:szCs w:val="16"/>
              </w:rPr>
              <w:t>AC</w:t>
            </w:r>
          </w:p>
        </w:tc>
        <w:tc>
          <w:tcPr>
            <w:tcW w:w="2695" w:type="dxa"/>
            <w:tcBorders>
              <w:top w:val="single" w:sz="4" w:space="0" w:color="auto"/>
              <w:left w:val="single" w:sz="4" w:space="0" w:color="auto"/>
              <w:bottom w:val="single" w:sz="4" w:space="0" w:color="auto"/>
              <w:right w:val="single" w:sz="4" w:space="0" w:color="auto"/>
            </w:tcBorders>
            <w:vAlign w:val="center"/>
          </w:tcPr>
          <w:p w14:paraId="381923DD" w14:textId="474DDB34" w:rsidR="00950E90" w:rsidRPr="00601498" w:rsidRDefault="00950E90" w:rsidP="006C53D3">
            <w:pPr>
              <w:jc w:val="center"/>
              <w:rPr>
                <w:rFonts w:cs="Arial"/>
                <w:spacing w:val="-3"/>
                <w:szCs w:val="20"/>
              </w:rPr>
            </w:pPr>
            <w:r w:rsidRPr="00601498">
              <w:rPr>
                <w:rFonts w:cs="Arial"/>
                <w:spacing w:val="-3"/>
                <w:szCs w:val="20"/>
              </w:rPr>
              <w:t>$1,</w:t>
            </w:r>
            <w:r>
              <w:rPr>
                <w:rFonts w:cs="Arial"/>
                <w:spacing w:val="-3"/>
                <w:szCs w:val="20"/>
              </w:rPr>
              <w:t>1</w:t>
            </w:r>
            <w:r w:rsidR="000D37DC">
              <w:rPr>
                <w:rFonts w:cs="Arial"/>
                <w:spacing w:val="-3"/>
                <w:szCs w:val="20"/>
              </w:rPr>
              <w:t>44</w:t>
            </w:r>
            <w:r>
              <w:rPr>
                <w:rFonts w:cs="Arial"/>
                <w:spacing w:val="-3"/>
                <w:szCs w:val="20"/>
              </w:rPr>
              <w:t>,4</w:t>
            </w:r>
            <w:r w:rsidR="000D37DC">
              <w:rPr>
                <w:rFonts w:cs="Arial"/>
                <w:spacing w:val="-3"/>
                <w:szCs w:val="20"/>
              </w:rPr>
              <w:t>82</w:t>
            </w:r>
            <w:r w:rsidRPr="00601498">
              <w:rPr>
                <w:rFonts w:cs="Arial"/>
                <w:spacing w:val="-3"/>
                <w:szCs w:val="20"/>
              </w:rPr>
              <w:t xml:space="preserve"> </w:t>
            </w:r>
            <w:r w:rsidRPr="00CD67FF">
              <w:rPr>
                <w:rFonts w:cs="Arial"/>
                <w:spacing w:val="-3"/>
                <w:sz w:val="16"/>
                <w:szCs w:val="16"/>
              </w:rPr>
              <w:t>M</w:t>
            </w:r>
            <w:r w:rsidRPr="00601498">
              <w:rPr>
                <w:rFonts w:cs="Arial"/>
                <w:spacing w:val="-3"/>
                <w:sz w:val="16"/>
                <w:szCs w:val="16"/>
              </w:rPr>
              <w:t>AC</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EFA9FD5" w:rsidR="0097028A" w:rsidRPr="0079438F" w:rsidRDefault="0097028A" w:rsidP="00696E3A">
      <w:pPr>
        <w:rPr>
          <w:b/>
        </w:rPr>
      </w:pPr>
      <w:r w:rsidRPr="00696E3A">
        <w:rPr>
          <w:b/>
          <w:bCs/>
        </w:rPr>
        <w:t>Drug class for review:</w:t>
      </w:r>
      <w:r w:rsidRPr="00C02553">
        <w:t xml:space="preserve"> </w:t>
      </w:r>
      <w:r w:rsidR="00A02CC3">
        <w:rPr>
          <w:rFonts w:cs="Arial"/>
          <w:szCs w:val="20"/>
        </w:rPr>
        <w:t>Nulibry</w:t>
      </w:r>
      <w:r w:rsidR="00A02CC3" w:rsidRPr="0073388A">
        <w:rPr>
          <w:rFonts w:cs="Arial"/>
          <w:szCs w:val="20"/>
          <w:vertAlign w:val="superscript"/>
        </w:rPr>
        <w:t>®</w:t>
      </w:r>
      <w:r w:rsidR="00A02CC3" w:rsidRPr="00BD3210">
        <w:rPr>
          <w:rFonts w:cs="Arial"/>
          <w:spacing w:val="-3"/>
          <w:szCs w:val="20"/>
          <w:vertAlign w:val="superscript"/>
        </w:rPr>
        <w:t xml:space="preserve"> </w:t>
      </w:r>
      <w:r w:rsidR="00A02CC3" w:rsidRPr="00BD3210">
        <w:rPr>
          <w:rFonts w:cs="Arial"/>
          <w:spacing w:val="-3"/>
          <w:szCs w:val="20"/>
        </w:rPr>
        <w:t>(</w:t>
      </w:r>
      <w:r w:rsidR="00A02CC3">
        <w:rPr>
          <w:rFonts w:cs="Arial"/>
          <w:spacing w:val="-3"/>
          <w:szCs w:val="20"/>
        </w:rPr>
        <w:t>fosdenopterin)</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262FDB3D" w14:textId="77777777" w:rsidR="00912EB1" w:rsidRDefault="00912EB1" w:rsidP="00912EB1">
      <w:pPr>
        <w:pStyle w:val="ListParagraph"/>
      </w:pPr>
      <w:r w:rsidRPr="000039A9">
        <w:t xml:space="preserve">Must meet </w:t>
      </w:r>
      <w:proofErr w:type="gramStart"/>
      <w:r w:rsidRPr="000039A9">
        <w:t>all of</w:t>
      </w:r>
      <w:proofErr w:type="gramEnd"/>
      <w:r w:rsidRPr="000039A9">
        <w:t xml:space="preserve"> the following:</w:t>
      </w:r>
    </w:p>
    <w:p w14:paraId="14FA7DB7" w14:textId="77777777" w:rsidR="00912EB1" w:rsidRPr="000039A9" w:rsidRDefault="00912EB1" w:rsidP="00912EB1">
      <w:pPr>
        <w:pStyle w:val="ListParagraph"/>
        <w:numPr>
          <w:ilvl w:val="1"/>
          <w:numId w:val="6"/>
        </w:numPr>
        <w:rPr>
          <w:rFonts w:cs="Arial"/>
          <w:bCs/>
          <w:szCs w:val="20"/>
        </w:rPr>
      </w:pPr>
      <w:r w:rsidRPr="000039A9">
        <w:rPr>
          <w:rFonts w:cs="Arial"/>
          <w:bCs/>
          <w:szCs w:val="20"/>
        </w:rPr>
        <w:t>Confirmed or suspected molybdenum cofactor deficiency (MoCD) Type A</w:t>
      </w:r>
      <w:r>
        <w:rPr>
          <w:rFonts w:cs="Arial"/>
          <w:bCs/>
          <w:szCs w:val="20"/>
        </w:rPr>
        <w:t>;</w:t>
      </w:r>
      <w:r w:rsidRPr="000039A9">
        <w:rPr>
          <w:rFonts w:cs="Arial"/>
          <w:bCs/>
          <w:szCs w:val="20"/>
        </w:rPr>
        <w:t xml:space="preserve"> </w:t>
      </w:r>
      <w:r w:rsidRPr="000039A9">
        <w:rPr>
          <w:rFonts w:cs="Arial"/>
          <w:b/>
          <w:szCs w:val="20"/>
        </w:rPr>
        <w:t>AND</w:t>
      </w:r>
    </w:p>
    <w:p w14:paraId="68B5A50D" w14:textId="77777777" w:rsidR="00912EB1" w:rsidRDefault="00912EB1" w:rsidP="00912EB1">
      <w:pPr>
        <w:pStyle w:val="ListParagraph"/>
        <w:numPr>
          <w:ilvl w:val="1"/>
          <w:numId w:val="6"/>
        </w:numPr>
        <w:rPr>
          <w:rFonts w:cs="Arial"/>
          <w:bCs/>
          <w:szCs w:val="20"/>
        </w:rPr>
      </w:pPr>
      <w:r w:rsidRPr="000039A9">
        <w:rPr>
          <w:rFonts w:cs="Arial"/>
          <w:bCs/>
          <w:szCs w:val="20"/>
        </w:rPr>
        <w:t>Prescribed by or in consultation with a neonatologist or other specialist in the treated disease state</w:t>
      </w:r>
      <w:r>
        <w:rPr>
          <w:rFonts w:cs="Arial"/>
          <w:bCs/>
          <w:szCs w:val="20"/>
        </w:rPr>
        <w:t>.</w:t>
      </w:r>
    </w:p>
    <w:p w14:paraId="37BE51B0" w14:textId="612376DA" w:rsidR="00635DDB" w:rsidRPr="00C02553" w:rsidRDefault="00912EB1" w:rsidP="00912EB1">
      <w:pPr>
        <w:pStyle w:val="ListParagraph"/>
      </w:pPr>
      <w:r>
        <w:t>Initial approval period: 3 months</w:t>
      </w:r>
      <w:r w:rsidR="00635DDB">
        <w:t xml:space="preserve"> </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1C2892A2" w14:textId="77777777" w:rsidR="0045735F" w:rsidRDefault="0045735F" w:rsidP="0045735F">
      <w:pPr>
        <w:pStyle w:val="ListParagraph"/>
        <w:numPr>
          <w:ilvl w:val="0"/>
          <w:numId w:val="17"/>
        </w:numPr>
        <w:rPr>
          <w:rFonts w:cs="Arial"/>
          <w:bCs/>
          <w:szCs w:val="20"/>
        </w:rPr>
      </w:pPr>
      <w:r w:rsidRPr="00362EFE">
        <w:rPr>
          <w:rFonts w:cs="Arial"/>
          <w:bCs/>
          <w:szCs w:val="20"/>
        </w:rPr>
        <w:t xml:space="preserve">Must meet </w:t>
      </w:r>
      <w:proofErr w:type="gramStart"/>
      <w:r w:rsidRPr="00362EFE">
        <w:rPr>
          <w:rFonts w:cs="Arial"/>
          <w:bCs/>
          <w:szCs w:val="20"/>
        </w:rPr>
        <w:t>all of</w:t>
      </w:r>
      <w:proofErr w:type="gramEnd"/>
      <w:r w:rsidRPr="00362EFE">
        <w:rPr>
          <w:rFonts w:cs="Arial"/>
          <w:bCs/>
          <w:szCs w:val="20"/>
        </w:rPr>
        <w:t xml:space="preserve"> the following:</w:t>
      </w:r>
    </w:p>
    <w:p w14:paraId="5B8E199B" w14:textId="77777777" w:rsidR="0045735F" w:rsidRDefault="0045735F" w:rsidP="0045735F">
      <w:pPr>
        <w:pStyle w:val="ListParagraph"/>
        <w:numPr>
          <w:ilvl w:val="1"/>
          <w:numId w:val="17"/>
        </w:numPr>
        <w:rPr>
          <w:rFonts w:cs="Arial"/>
          <w:szCs w:val="20"/>
        </w:rPr>
      </w:pPr>
      <w:r w:rsidRPr="34886554">
        <w:rPr>
          <w:rFonts w:cs="Arial"/>
          <w:szCs w:val="20"/>
        </w:rPr>
        <w:t xml:space="preserve">Completed genetic testing to confirm biallelic pathogenic variant of </w:t>
      </w:r>
      <w:r w:rsidRPr="34886554">
        <w:rPr>
          <w:rFonts w:cs="Arial"/>
          <w:i/>
          <w:iCs/>
          <w:szCs w:val="20"/>
        </w:rPr>
        <w:t>MOCS1</w:t>
      </w:r>
      <w:r w:rsidRPr="34886554">
        <w:rPr>
          <w:rFonts w:cs="Arial"/>
          <w:szCs w:val="20"/>
        </w:rPr>
        <w:t xml:space="preserve"> gene; </w:t>
      </w:r>
      <w:r w:rsidRPr="34886554">
        <w:rPr>
          <w:rFonts w:cs="Arial"/>
          <w:b/>
          <w:bCs/>
          <w:szCs w:val="20"/>
        </w:rPr>
        <w:t>AND</w:t>
      </w:r>
    </w:p>
    <w:p w14:paraId="75793775" w14:textId="77777777" w:rsidR="0045735F" w:rsidRPr="009D343B" w:rsidRDefault="0045735F" w:rsidP="0045735F">
      <w:pPr>
        <w:pStyle w:val="ListParagraph"/>
        <w:numPr>
          <w:ilvl w:val="1"/>
          <w:numId w:val="17"/>
        </w:numPr>
        <w:rPr>
          <w:rFonts w:cs="Arial"/>
          <w:bCs/>
          <w:szCs w:val="20"/>
        </w:rPr>
      </w:pPr>
      <w:r w:rsidRPr="34886554">
        <w:rPr>
          <w:rFonts w:cs="Arial"/>
          <w:noProof/>
          <w:szCs w:val="20"/>
        </w:rPr>
        <w:t>Claim does not exceed 0.9 mg/kg per day.</w:t>
      </w:r>
    </w:p>
    <w:p w14:paraId="46516FC6" w14:textId="77777777" w:rsidR="0045735F" w:rsidRPr="00362EFE" w:rsidRDefault="0045735F" w:rsidP="0045735F">
      <w:pPr>
        <w:pStyle w:val="ListParagraph"/>
        <w:numPr>
          <w:ilvl w:val="0"/>
          <w:numId w:val="17"/>
        </w:numPr>
        <w:rPr>
          <w:rFonts w:cs="Arial"/>
          <w:bCs/>
          <w:szCs w:val="20"/>
        </w:rPr>
      </w:pPr>
      <w:r>
        <w:rPr>
          <w:rFonts w:cs="Arial"/>
          <w:bCs/>
          <w:szCs w:val="20"/>
        </w:rPr>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4D21EAF1" w14:textId="33371C11" w:rsidR="001E4CBA" w:rsidRDefault="00904D7A" w:rsidP="0045735F">
      <w:pPr>
        <w:pStyle w:val="ListParagraph"/>
        <w:numPr>
          <w:ilvl w:val="1"/>
          <w:numId w:val="6"/>
        </w:numPr>
        <w:rPr>
          <w:rFonts w:cs="Arial"/>
          <w:szCs w:val="22"/>
        </w:rPr>
      </w:pPr>
      <w:r w:rsidRPr="005328B2">
        <w:t>Any approval criteria are not met</w:t>
      </w: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73EFFDAB" w:rsidR="00343D6B" w:rsidRPr="00957BB4" w:rsidRDefault="00343D6B" w:rsidP="00696E3A">
      <w:pPr>
        <w:rPr>
          <w:rFonts w:cs="Arial"/>
          <w:szCs w:val="20"/>
        </w:rPr>
      </w:pPr>
      <w:r w:rsidRPr="00696E3A">
        <w:rPr>
          <w:b/>
          <w:bCs/>
        </w:rPr>
        <w:t>Default Approval Period:</w:t>
      </w:r>
      <w:r w:rsidR="00973BD6">
        <w:t xml:space="preserve"> </w:t>
      </w:r>
      <w:r w:rsidR="00957BB4" w:rsidRPr="00A24CEE">
        <w:rPr>
          <w:rFonts w:cs="Arial"/>
          <w:szCs w:val="20"/>
        </w:rPr>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17F5CF2" w14:textId="77777777" w:rsidR="00C27627" w:rsidRPr="00823EF4" w:rsidRDefault="00C27627" w:rsidP="00C27627">
      <w:pPr>
        <w:pStyle w:val="ListParagraph"/>
        <w:numPr>
          <w:ilvl w:val="0"/>
          <w:numId w:val="18"/>
        </w:numPr>
        <w:spacing w:after="200" w:line="276" w:lineRule="auto"/>
        <w:ind w:left="360"/>
        <w:rPr>
          <w:rFonts w:cs="Arial"/>
          <w:szCs w:val="20"/>
          <w:shd w:val="clear" w:color="auto" w:fill="FFFFFF"/>
        </w:rPr>
      </w:pPr>
      <w:r w:rsidRPr="00823EF4">
        <w:rPr>
          <w:rFonts w:cs="Arial"/>
          <w:bCs/>
          <w:szCs w:val="20"/>
          <w:shd w:val="clear" w:color="auto" w:fill="FFFFFF"/>
        </w:rPr>
        <w:t xml:space="preserve">NULIBRY (fosdenopterin) [package insert]. Boston, MA: Origin Biosciences, Inc. </w:t>
      </w:r>
      <w:r>
        <w:rPr>
          <w:rFonts w:cs="Arial"/>
          <w:bCs/>
          <w:szCs w:val="20"/>
          <w:shd w:val="clear" w:color="auto" w:fill="FFFFFF"/>
        </w:rPr>
        <w:t>October 2022</w:t>
      </w:r>
      <w:r w:rsidRPr="00823EF4">
        <w:rPr>
          <w:rFonts w:cs="Arial"/>
          <w:bCs/>
          <w:szCs w:val="20"/>
          <w:shd w:val="clear" w:color="auto" w:fill="FFFFFF"/>
        </w:rPr>
        <w:t xml:space="preserve">. </w:t>
      </w:r>
    </w:p>
    <w:p w14:paraId="7E1D70CC" w14:textId="77777777" w:rsidR="00C27627" w:rsidRPr="00823EF4" w:rsidRDefault="00C27627" w:rsidP="00C27627">
      <w:pPr>
        <w:pStyle w:val="ListParagraph"/>
        <w:numPr>
          <w:ilvl w:val="0"/>
          <w:numId w:val="18"/>
        </w:numPr>
        <w:spacing w:after="200" w:line="276" w:lineRule="auto"/>
        <w:ind w:left="360"/>
        <w:rPr>
          <w:rFonts w:cs="Arial"/>
          <w:szCs w:val="20"/>
          <w:shd w:val="clear" w:color="auto" w:fill="FFFFFF"/>
        </w:rPr>
      </w:pPr>
      <w:r w:rsidRPr="00823EF4">
        <w:rPr>
          <w:rFonts w:cs="Arial"/>
          <w:szCs w:val="20"/>
          <w:shd w:val="clear" w:color="auto" w:fill="FFFFFF"/>
        </w:rPr>
        <w:t xml:space="preserve">Nagappa, M., Bindu, P.S., Taly, A.B. Child Neurology: Molybdenum cofactor deficiency. American Journal of Neurology. December 8, 2015; 85(23). </w:t>
      </w:r>
      <w:hyperlink r:id="rId11" w:history="1">
        <w:r w:rsidRPr="00823EF4">
          <w:rPr>
            <w:rStyle w:val="Hyperlink"/>
            <w:rFonts w:cs="Arial"/>
            <w:color w:val="auto"/>
            <w:szCs w:val="20"/>
            <w:shd w:val="clear" w:color="auto" w:fill="FFFFFF"/>
          </w:rPr>
          <w:t>https://n.neurology.org/content/85/23/e175</w:t>
        </w:r>
      </w:hyperlink>
      <w:r w:rsidRPr="00823EF4">
        <w:rPr>
          <w:rFonts w:cs="Arial"/>
          <w:szCs w:val="20"/>
          <w:shd w:val="clear" w:color="auto" w:fill="FFFFFF"/>
        </w:rPr>
        <w:t xml:space="preserve">. Accessed </w:t>
      </w:r>
      <w:r>
        <w:rPr>
          <w:rFonts w:cs="Arial"/>
          <w:szCs w:val="20"/>
          <w:shd w:val="clear" w:color="auto" w:fill="FFFFFF"/>
        </w:rPr>
        <w:t>January 20</w:t>
      </w:r>
      <w:r w:rsidRPr="00823EF4">
        <w:rPr>
          <w:rFonts w:cs="Arial"/>
          <w:szCs w:val="20"/>
          <w:shd w:val="clear" w:color="auto" w:fill="FFFFFF"/>
        </w:rPr>
        <w:t>, 202</w:t>
      </w:r>
      <w:r>
        <w:rPr>
          <w:rFonts w:cs="Arial"/>
          <w:szCs w:val="20"/>
          <w:shd w:val="clear" w:color="auto" w:fill="FFFFFF"/>
        </w:rPr>
        <w:t>3</w:t>
      </w:r>
      <w:r w:rsidRPr="00823EF4">
        <w:rPr>
          <w:rFonts w:cs="Arial"/>
          <w:szCs w:val="20"/>
          <w:shd w:val="clear" w:color="auto" w:fill="FFFFFF"/>
        </w:rPr>
        <w:t xml:space="preserve">. </w:t>
      </w:r>
    </w:p>
    <w:p w14:paraId="4A7D4DDA" w14:textId="77777777" w:rsidR="00C27627" w:rsidRPr="00823EF4" w:rsidRDefault="00C27627" w:rsidP="00C27627">
      <w:pPr>
        <w:pStyle w:val="ListParagraph"/>
        <w:numPr>
          <w:ilvl w:val="0"/>
          <w:numId w:val="18"/>
        </w:numPr>
        <w:spacing w:after="200" w:line="276" w:lineRule="auto"/>
        <w:ind w:left="360"/>
        <w:rPr>
          <w:rFonts w:cs="Arial"/>
          <w:szCs w:val="20"/>
          <w:shd w:val="clear" w:color="auto" w:fill="FFFFFF"/>
        </w:rPr>
      </w:pPr>
      <w:r w:rsidRPr="00823EF4">
        <w:rPr>
          <w:rFonts w:cs="Arial"/>
          <w:szCs w:val="20"/>
          <w:shd w:val="clear" w:color="auto" w:fill="FFFFFF"/>
        </w:rPr>
        <w:t>IPD Analytics. New Drug Review: Nulibry (fosdenopterin). March 2021.</w:t>
      </w:r>
    </w:p>
    <w:p w14:paraId="442074E5" w14:textId="77777777" w:rsidR="00C27627" w:rsidRPr="00823EF4" w:rsidRDefault="00C27627" w:rsidP="00C27627">
      <w:pPr>
        <w:pStyle w:val="ListParagraph"/>
        <w:numPr>
          <w:ilvl w:val="0"/>
          <w:numId w:val="18"/>
        </w:numPr>
        <w:spacing w:after="200" w:line="276" w:lineRule="auto"/>
        <w:ind w:left="360"/>
        <w:rPr>
          <w:rFonts w:cs="Arial"/>
          <w:szCs w:val="20"/>
          <w:shd w:val="clear" w:color="auto" w:fill="FFFFFF"/>
        </w:rPr>
      </w:pPr>
      <w:r w:rsidRPr="00823EF4">
        <w:rPr>
          <w:rFonts w:cs="Arial"/>
          <w:szCs w:val="20"/>
          <w:shd w:val="clear" w:color="auto" w:fill="FFFFFF"/>
        </w:rPr>
        <w:t xml:space="preserve">BridgeBio Pharma’s Origin Biosciences Presents New Data </w:t>
      </w:r>
      <w:proofErr w:type="gramStart"/>
      <w:r w:rsidRPr="00823EF4">
        <w:rPr>
          <w:rFonts w:cs="Arial"/>
          <w:szCs w:val="20"/>
          <w:shd w:val="clear" w:color="auto" w:fill="FFFFFF"/>
        </w:rPr>
        <w:t>On</w:t>
      </w:r>
      <w:proofErr w:type="gramEnd"/>
      <w:r w:rsidRPr="00823EF4">
        <w:rPr>
          <w:rFonts w:cs="Arial"/>
          <w:szCs w:val="20"/>
          <w:shd w:val="clear" w:color="auto" w:fill="FFFFFF"/>
        </w:rPr>
        <w:t xml:space="preserve"> The Natural History Of Molybdenum Cofactor Deficiency (MoCD) Type A At The Society Of The Study Of Inborn Errors Of Metabolism (SSIEM) Conference. September 5, 2019. </w:t>
      </w:r>
      <w:hyperlink r:id="rId12" w:history="1">
        <w:r w:rsidRPr="00823EF4">
          <w:rPr>
            <w:rStyle w:val="Hyperlink"/>
            <w:rFonts w:cs="Arial"/>
            <w:color w:val="auto"/>
            <w:szCs w:val="20"/>
            <w:shd w:val="clear" w:color="auto" w:fill="FFFFFF"/>
          </w:rPr>
          <w:t>https://bridgebio.com/news/bridgebio-pharmas-origin-biosciences-presents-new-data-on-the-natural-history-of-molybdenum-cofactor-deficiency-mocd-type-a-at-the-society-of-the-study-of-inborn-errors-of-metabolism-ssiem</w:t>
        </w:r>
      </w:hyperlink>
      <w:r w:rsidRPr="00823EF4">
        <w:rPr>
          <w:rFonts w:cs="Arial"/>
          <w:szCs w:val="20"/>
          <w:shd w:val="clear" w:color="auto" w:fill="FFFFFF"/>
        </w:rPr>
        <w:t xml:space="preserve">. Accessed </w:t>
      </w:r>
      <w:r>
        <w:rPr>
          <w:rFonts w:cs="Arial"/>
          <w:szCs w:val="20"/>
          <w:shd w:val="clear" w:color="auto" w:fill="FFFFFF"/>
        </w:rPr>
        <w:t xml:space="preserve">January 20, 2023. </w:t>
      </w:r>
    </w:p>
    <w:p w14:paraId="2C3140B8" w14:textId="77777777" w:rsidR="00C27627" w:rsidRPr="00CD67FF" w:rsidRDefault="00C27627" w:rsidP="00C27627">
      <w:pPr>
        <w:pStyle w:val="ListParagraph"/>
        <w:numPr>
          <w:ilvl w:val="0"/>
          <w:numId w:val="18"/>
        </w:numPr>
        <w:spacing w:after="200" w:line="276" w:lineRule="auto"/>
        <w:ind w:left="360"/>
        <w:rPr>
          <w:rFonts w:cs="Arial"/>
          <w:szCs w:val="20"/>
          <w:shd w:val="clear" w:color="auto" w:fill="FFFFFF"/>
        </w:rPr>
      </w:pPr>
      <w:r w:rsidRPr="00E1534F">
        <w:rPr>
          <w:rFonts w:cs="Arial"/>
          <w:szCs w:val="20"/>
          <w:shd w:val="clear" w:color="auto" w:fill="FFFFFF"/>
          <w:lang w:val="it-IT"/>
        </w:rPr>
        <w:t xml:space="preserve">Scelsa, B., Gasperini, S., Righini A., et. al. </w:t>
      </w:r>
      <w:r w:rsidRPr="00823EF4">
        <w:rPr>
          <w:rFonts w:cs="Arial"/>
          <w:szCs w:val="20"/>
          <w:shd w:val="clear" w:color="auto" w:fill="FFFFFF"/>
        </w:rPr>
        <w:t xml:space="preserve">Mild phenotype in Molybdenum cofactor deficiency: A new patient and review of the literature. Molecular Genetics &amp; Genomic Medicine. 2019 June; 7)6): e657. </w:t>
      </w:r>
      <w:hyperlink r:id="rId13" w:history="1">
        <w:r w:rsidRPr="00823EF4">
          <w:rPr>
            <w:rStyle w:val="Hyperlink"/>
            <w:rFonts w:cs="Arial"/>
            <w:color w:val="auto"/>
            <w:szCs w:val="20"/>
            <w:shd w:val="clear" w:color="auto" w:fill="FFFFFF"/>
          </w:rPr>
          <w:t>https://www.ncbi.nlm.nih.gov/pmc/articles/PMC6565584/</w:t>
        </w:r>
      </w:hyperlink>
      <w:r w:rsidRPr="00823EF4">
        <w:rPr>
          <w:rFonts w:cs="Arial"/>
          <w:szCs w:val="20"/>
          <w:shd w:val="clear" w:color="auto" w:fill="FFFFFF"/>
        </w:rPr>
        <w:t xml:space="preserve">. Accessed </w:t>
      </w:r>
      <w:r>
        <w:rPr>
          <w:rFonts w:cs="Arial"/>
          <w:szCs w:val="20"/>
          <w:shd w:val="clear" w:color="auto" w:fill="FFFFFF"/>
        </w:rPr>
        <w:t>January</w:t>
      </w:r>
      <w:r w:rsidRPr="00823EF4">
        <w:rPr>
          <w:rFonts w:cs="Arial"/>
          <w:szCs w:val="20"/>
          <w:shd w:val="clear" w:color="auto" w:fill="FFFFFF"/>
        </w:rPr>
        <w:t xml:space="preserve"> 2</w:t>
      </w:r>
      <w:r>
        <w:rPr>
          <w:rFonts w:cs="Arial"/>
          <w:szCs w:val="20"/>
          <w:shd w:val="clear" w:color="auto" w:fill="FFFFFF"/>
        </w:rPr>
        <w:t>0</w:t>
      </w:r>
      <w:r w:rsidRPr="00823EF4">
        <w:rPr>
          <w:rFonts w:cs="Arial"/>
          <w:szCs w:val="20"/>
          <w:shd w:val="clear" w:color="auto" w:fill="FFFFFF"/>
        </w:rPr>
        <w:t>, 202</w:t>
      </w:r>
      <w:r>
        <w:rPr>
          <w:rFonts w:cs="Arial"/>
          <w:szCs w:val="20"/>
          <w:shd w:val="clear" w:color="auto" w:fill="FFFFFF"/>
        </w:rPr>
        <w:t>5.</w:t>
      </w:r>
    </w:p>
    <w:p w14:paraId="3FA1E7DB" w14:textId="0DCDF6BD" w:rsidR="00777CA4" w:rsidRDefault="00777CA4" w:rsidP="00C27627">
      <w:pPr>
        <w:pStyle w:val="ListParagraph"/>
        <w:numPr>
          <w:ilvl w:val="0"/>
          <w:numId w:val="0"/>
        </w:numPr>
        <w:ind w:left="360"/>
      </w:pPr>
    </w:p>
    <w:sectPr w:rsidR="00777CA4" w:rsidSect="00AB0B9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D791" w14:textId="77777777" w:rsidR="00134846" w:rsidRPr="00C02553" w:rsidRDefault="00134846" w:rsidP="00AE77DB">
      <w:r w:rsidRPr="00C02553">
        <w:separator/>
      </w:r>
    </w:p>
  </w:endnote>
  <w:endnote w:type="continuationSeparator" w:id="0">
    <w:p w14:paraId="362ADAF7" w14:textId="77777777" w:rsidR="00134846" w:rsidRPr="00C02553" w:rsidRDefault="00134846" w:rsidP="00AE77DB">
      <w:r w:rsidRPr="00C02553">
        <w:continuationSeparator/>
      </w:r>
    </w:p>
  </w:endnote>
  <w:endnote w:type="continuationNotice" w:id="1">
    <w:p w14:paraId="3115C333" w14:textId="77777777" w:rsidR="00134846" w:rsidRPr="00C02553" w:rsidRDefault="00134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25E8" w14:textId="77777777" w:rsidR="00134846" w:rsidRPr="00C02553" w:rsidRDefault="00134846" w:rsidP="00AE77DB">
      <w:r w:rsidRPr="00C02553">
        <w:separator/>
      </w:r>
    </w:p>
  </w:footnote>
  <w:footnote w:type="continuationSeparator" w:id="0">
    <w:p w14:paraId="597C1274" w14:textId="77777777" w:rsidR="00134846" w:rsidRPr="00C02553" w:rsidRDefault="00134846" w:rsidP="00AE77DB">
      <w:r w:rsidRPr="00C02553">
        <w:continuationSeparator/>
      </w:r>
    </w:p>
  </w:footnote>
  <w:footnote w:type="continuationNotice" w:id="1">
    <w:p w14:paraId="3B172631" w14:textId="77777777" w:rsidR="00134846" w:rsidRPr="00C02553" w:rsidRDefault="00134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8555C">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8555C">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8555C">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600404"/>
    <w:multiLevelType w:val="hybridMultilevel"/>
    <w:tmpl w:val="82EE49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13173"/>
    <w:multiLevelType w:val="hybridMultilevel"/>
    <w:tmpl w:val="680025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8E00219"/>
    <w:multiLevelType w:val="hybridMultilevel"/>
    <w:tmpl w:val="68D42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495070584">
    <w:abstractNumId w:val="11"/>
  </w:num>
  <w:num w:numId="17" w16cid:durableId="6638950">
    <w:abstractNumId w:val="17"/>
  </w:num>
  <w:num w:numId="18" w16cid:durableId="7013969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UxCY24XxyGaNtSnKxkWT1IU5RPQdt+KWLHIKtbz3Rdy5+KDDMssN6pJH3ng2HJFNtd7a25qyXJPI//N9b3pE5w==" w:salt="ck1pM4s+9w8FvVSo9Xeua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5D0"/>
    <w:rsid w:val="000276D9"/>
    <w:rsid w:val="000344C5"/>
    <w:rsid w:val="00040AD3"/>
    <w:rsid w:val="00053807"/>
    <w:rsid w:val="000572E5"/>
    <w:rsid w:val="00061541"/>
    <w:rsid w:val="00064162"/>
    <w:rsid w:val="00065C22"/>
    <w:rsid w:val="00073E32"/>
    <w:rsid w:val="00074464"/>
    <w:rsid w:val="00076030"/>
    <w:rsid w:val="00082590"/>
    <w:rsid w:val="0008555C"/>
    <w:rsid w:val="000913C3"/>
    <w:rsid w:val="000953B9"/>
    <w:rsid w:val="000A2D17"/>
    <w:rsid w:val="000A413B"/>
    <w:rsid w:val="000A6279"/>
    <w:rsid w:val="000B496B"/>
    <w:rsid w:val="000C3940"/>
    <w:rsid w:val="000C5992"/>
    <w:rsid w:val="000D37DC"/>
    <w:rsid w:val="000E1479"/>
    <w:rsid w:val="000E231E"/>
    <w:rsid w:val="000E247D"/>
    <w:rsid w:val="000E6B14"/>
    <w:rsid w:val="000E70D8"/>
    <w:rsid w:val="001062F6"/>
    <w:rsid w:val="00112FC7"/>
    <w:rsid w:val="0012147C"/>
    <w:rsid w:val="00125F5F"/>
    <w:rsid w:val="00126951"/>
    <w:rsid w:val="00126B60"/>
    <w:rsid w:val="00127EF6"/>
    <w:rsid w:val="001310AD"/>
    <w:rsid w:val="001314A5"/>
    <w:rsid w:val="00132C7F"/>
    <w:rsid w:val="00134846"/>
    <w:rsid w:val="00143A11"/>
    <w:rsid w:val="00144DBE"/>
    <w:rsid w:val="00152C8B"/>
    <w:rsid w:val="0015636A"/>
    <w:rsid w:val="00172053"/>
    <w:rsid w:val="00177A80"/>
    <w:rsid w:val="001808B8"/>
    <w:rsid w:val="00190769"/>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C31DC"/>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5735F"/>
    <w:rsid w:val="00460B5D"/>
    <w:rsid w:val="00461567"/>
    <w:rsid w:val="0046618B"/>
    <w:rsid w:val="0047101A"/>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6D12"/>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3B07"/>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94D2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24A52"/>
    <w:rsid w:val="008314CE"/>
    <w:rsid w:val="00832211"/>
    <w:rsid w:val="008325F4"/>
    <w:rsid w:val="00832AC8"/>
    <w:rsid w:val="00846FA4"/>
    <w:rsid w:val="008524BA"/>
    <w:rsid w:val="00852B74"/>
    <w:rsid w:val="00856928"/>
    <w:rsid w:val="00865538"/>
    <w:rsid w:val="00870875"/>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2EB1"/>
    <w:rsid w:val="00915332"/>
    <w:rsid w:val="009204BB"/>
    <w:rsid w:val="00935918"/>
    <w:rsid w:val="00935EC3"/>
    <w:rsid w:val="00950E90"/>
    <w:rsid w:val="00951097"/>
    <w:rsid w:val="00953C1E"/>
    <w:rsid w:val="009575DF"/>
    <w:rsid w:val="00957BB4"/>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2CC3"/>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C65F8"/>
    <w:rsid w:val="00AD1878"/>
    <w:rsid w:val="00AD2C5F"/>
    <w:rsid w:val="00AE1481"/>
    <w:rsid w:val="00AE27F9"/>
    <w:rsid w:val="00AE77DB"/>
    <w:rsid w:val="00AF7453"/>
    <w:rsid w:val="00B00EDC"/>
    <w:rsid w:val="00B00FFF"/>
    <w:rsid w:val="00B06084"/>
    <w:rsid w:val="00B16735"/>
    <w:rsid w:val="00B17EDE"/>
    <w:rsid w:val="00B22585"/>
    <w:rsid w:val="00B33693"/>
    <w:rsid w:val="00B34C53"/>
    <w:rsid w:val="00B35562"/>
    <w:rsid w:val="00B507A5"/>
    <w:rsid w:val="00B52475"/>
    <w:rsid w:val="00B535DA"/>
    <w:rsid w:val="00B56DCC"/>
    <w:rsid w:val="00B56F54"/>
    <w:rsid w:val="00B638C2"/>
    <w:rsid w:val="00B758AB"/>
    <w:rsid w:val="00B76277"/>
    <w:rsid w:val="00B772AB"/>
    <w:rsid w:val="00B80395"/>
    <w:rsid w:val="00B80B56"/>
    <w:rsid w:val="00B81482"/>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27627"/>
    <w:rsid w:val="00C34E72"/>
    <w:rsid w:val="00C56B1F"/>
    <w:rsid w:val="00C61B52"/>
    <w:rsid w:val="00C62745"/>
    <w:rsid w:val="00C654CA"/>
    <w:rsid w:val="00C763BD"/>
    <w:rsid w:val="00C779A8"/>
    <w:rsid w:val="00C82E19"/>
    <w:rsid w:val="00C96873"/>
    <w:rsid w:val="00CA1735"/>
    <w:rsid w:val="00CA1CD8"/>
    <w:rsid w:val="00CA207E"/>
    <w:rsid w:val="00CA3C4B"/>
    <w:rsid w:val="00CA7252"/>
    <w:rsid w:val="00CB2C5A"/>
    <w:rsid w:val="00CC6FE3"/>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0709"/>
    <w:rsid w:val="00ED2741"/>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3EE9"/>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950E90"/>
    <w:rPr>
      <w:sz w:val="16"/>
      <w:szCs w:val="16"/>
    </w:rPr>
  </w:style>
  <w:style w:type="paragraph" w:styleId="CommentSubject">
    <w:name w:val="annotation subject"/>
    <w:basedOn w:val="CommentText"/>
    <w:next w:val="CommentText"/>
    <w:link w:val="CommentSubjectChar"/>
    <w:uiPriority w:val="99"/>
    <w:semiHidden/>
    <w:unhideWhenUsed/>
    <w:rsid w:val="00950E90"/>
    <w:rPr>
      <w:b/>
      <w:bCs/>
    </w:rPr>
  </w:style>
  <w:style w:type="character" w:customStyle="1" w:styleId="CommentTextChar">
    <w:name w:val="Comment Text Char"/>
    <w:basedOn w:val="DefaultParagraphFont"/>
    <w:link w:val="CommentText"/>
    <w:semiHidden/>
    <w:rsid w:val="00950E90"/>
    <w:rPr>
      <w:rFonts w:ascii="Arial" w:hAnsi="Arial"/>
    </w:rPr>
  </w:style>
  <w:style w:type="character" w:customStyle="1" w:styleId="CommentSubjectChar">
    <w:name w:val="Comment Subject Char"/>
    <w:basedOn w:val="CommentTextChar"/>
    <w:link w:val="CommentSubject"/>
    <w:uiPriority w:val="99"/>
    <w:semiHidden/>
    <w:rsid w:val="00950E9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656558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ridgebio.com/news/bridgebio-pharmas-origin-biosciences-presents-new-data-on-the-natural-history-of-molybdenum-cofactor-deficiency-mocd-type-a-at-the-society-of-the-study-of-inborn-errors-of-metabolism-ssie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neurology.org/content/85/23/e17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6A1C9B42-365D-44A6-AB0E-696585B3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619</Words>
  <Characters>4236</Characters>
  <Application>Microsoft Office Word</Application>
  <DocSecurity>10</DocSecurity>
  <Lines>35</Lines>
  <Paragraphs>9</Paragraphs>
  <ScaleCrop>false</ScaleCrop>
  <HeadingPairs>
    <vt:vector size="2" baseType="variant">
      <vt:variant>
        <vt:lpstr>Title</vt:lpstr>
      </vt:variant>
      <vt:variant>
        <vt:i4>1</vt:i4>
      </vt:variant>
    </vt:vector>
  </HeadingPairs>
  <TitlesOfParts>
    <vt:vector size="1" baseType="lpstr">
      <vt:lpstr>Nulibry CE</vt:lpstr>
    </vt:vector>
  </TitlesOfParts>
  <Company>DSS</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Nulibry CE</dc:title>
  <dc:subject/>
  <dc:creator>DMS</dc:creator>
  <cp:keywords/>
  <cp:lastModifiedBy>Heriford, Katherine</cp:lastModifiedBy>
  <cp:revision>38</cp:revision>
  <cp:lastPrinted>2018-10-31T18:17:00Z</cp:lastPrinted>
  <dcterms:created xsi:type="dcterms:W3CDTF">2025-11-19T15:39:00Z</dcterms:created>
  <dcterms:modified xsi:type="dcterms:W3CDTF">2026-04-02T22:24:00Z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