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64783" w:rsidRDefault="000C3940" w:rsidP="00D02F34">
      <w:pPr>
        <w:pStyle w:val="Heading1"/>
        <w:rPr>
          <w:lang w:val="en-US"/>
        </w:rPr>
      </w:pPr>
      <w:bookmarkStart w:id="0" w:name="_Hlk792159"/>
      <w:r w:rsidRPr="00C64783">
        <w:rPr>
          <w:lang w:val="en-US"/>
        </w:rPr>
        <w:t>SmartPA Criteria Proposal</w:t>
      </w:r>
      <w:bookmarkEnd w:id="0"/>
    </w:p>
    <w:p w14:paraId="6413BFE7" w14:textId="506D81F7" w:rsidR="00AE77DB" w:rsidRPr="00C64783" w:rsidRDefault="00AE77DB" w:rsidP="00074464">
      <w:pPr>
        <w:rPr>
          <w:rFonts w:cs="Arial"/>
          <w:b/>
          <w:spacing w:val="-3"/>
          <w:szCs w:val="20"/>
        </w:rPr>
      </w:pPr>
    </w:p>
    <w:p w14:paraId="52CF6EBC" w14:textId="42CA17DE" w:rsidR="004C5767" w:rsidRPr="00C64783" w:rsidRDefault="004C5767" w:rsidP="00D27533">
      <w:pPr>
        <w:pStyle w:val="tbody"/>
        <w:rPr>
          <w:b w:val="0"/>
          <w:bCs/>
        </w:rPr>
      </w:pPr>
      <w:r w:rsidRPr="00C64783">
        <w:t>Drug/Drug Class:</w:t>
      </w:r>
      <w:r w:rsidR="003B4820" w:rsidRPr="00C64783">
        <w:t xml:space="preserve"> </w:t>
      </w:r>
      <w:proofErr w:type="spellStart"/>
      <w:r w:rsidR="00DF1F59" w:rsidRPr="00C64783">
        <w:rPr>
          <w:b w:val="0"/>
          <w:bCs/>
        </w:rPr>
        <w:t>Imcivree</w:t>
      </w:r>
      <w:proofErr w:type="spellEnd"/>
      <w:r w:rsidR="00DF1F59" w:rsidRPr="00C64783">
        <w:rPr>
          <w:b w:val="0"/>
          <w:bCs/>
        </w:rPr>
        <w:t xml:space="preserve"> Clinical Edit</w:t>
      </w:r>
    </w:p>
    <w:p w14:paraId="7AD7FFCE" w14:textId="75821101" w:rsidR="004C5767" w:rsidRPr="00C64783" w:rsidRDefault="004C5767" w:rsidP="00D27533">
      <w:pPr>
        <w:pStyle w:val="tbody"/>
      </w:pPr>
      <w:r w:rsidRPr="00C64783">
        <w:t xml:space="preserve">First Implementation Date: </w:t>
      </w:r>
      <w:r w:rsidR="00CA3822" w:rsidRPr="00C64783">
        <w:rPr>
          <w:b w:val="0"/>
          <w:bCs/>
        </w:rPr>
        <w:t>November 18, 2021</w:t>
      </w:r>
    </w:p>
    <w:p w14:paraId="4B7D760D" w14:textId="00342F06" w:rsidR="004C5767" w:rsidRPr="00C64783" w:rsidRDefault="00D95E68" w:rsidP="15EB50BA">
      <w:pPr>
        <w:pStyle w:val="tbody"/>
        <w:rPr>
          <w:b w:val="0"/>
        </w:rPr>
      </w:pPr>
      <w:r w:rsidRPr="00C64783">
        <w:t>Proposed</w:t>
      </w:r>
      <w:r w:rsidR="004C5767" w:rsidRPr="00C64783">
        <w:t xml:space="preserve"> Date:</w:t>
      </w:r>
      <w:r w:rsidR="00065C22" w:rsidRPr="00C64783">
        <w:t xml:space="preserve"> </w:t>
      </w:r>
      <w:r w:rsidR="00B00EDC" w:rsidRPr="00C64783">
        <w:rPr>
          <w:b w:val="0"/>
        </w:rPr>
        <w:t>April 14</w:t>
      </w:r>
      <w:r w:rsidR="00D232D9" w:rsidRPr="00C64783">
        <w:rPr>
          <w:b w:val="0"/>
        </w:rPr>
        <w:t>, 2026</w:t>
      </w:r>
    </w:p>
    <w:p w14:paraId="2726A013" w14:textId="3C40E9DA" w:rsidR="004C5767" w:rsidRPr="00C64783" w:rsidRDefault="004C5767" w:rsidP="00D27533">
      <w:pPr>
        <w:pStyle w:val="tbody"/>
      </w:pPr>
      <w:r w:rsidRPr="00C64783">
        <w:t xml:space="preserve">Prepared For: </w:t>
      </w:r>
      <w:r w:rsidR="00EE613F" w:rsidRPr="00C64783">
        <w:rPr>
          <w:b w:val="0"/>
          <w:bCs/>
        </w:rPr>
        <w:t>MO HealthNet</w:t>
      </w:r>
      <w:r w:rsidRPr="00C64783">
        <w:tab/>
      </w:r>
    </w:p>
    <w:p w14:paraId="0FD7BA18" w14:textId="61E24131" w:rsidR="004C5767" w:rsidRPr="00C64783" w:rsidRDefault="004C5767" w:rsidP="00D27533">
      <w:pPr>
        <w:pStyle w:val="tbody"/>
      </w:pPr>
      <w:r w:rsidRPr="00C64783">
        <w:t xml:space="preserve">Prepared By: </w:t>
      </w:r>
      <w:r w:rsidR="00303B21" w:rsidRPr="00C64783">
        <w:rPr>
          <w:b w:val="0"/>
          <w:bCs/>
        </w:rPr>
        <w:t>MO HealthNet and Conduent</w:t>
      </w:r>
      <w:r w:rsidRPr="00C64783">
        <w:tab/>
      </w:r>
    </w:p>
    <w:p w14:paraId="227AEF75" w14:textId="19D34854" w:rsidR="004C5767" w:rsidRPr="00C64783" w:rsidRDefault="004C5767" w:rsidP="00D27533">
      <w:pPr>
        <w:pStyle w:val="tbody"/>
        <w:rPr>
          <w:b w:val="0"/>
          <w:bCs/>
          <w:spacing w:val="-3"/>
        </w:rPr>
      </w:pPr>
      <w:r w:rsidRPr="00C64783">
        <w:t xml:space="preserve">Criteria Status: </w:t>
      </w:r>
      <w:r w:rsidR="00566BE4" w:rsidRPr="00C64783">
        <w:rPr>
          <w:b w:val="0"/>
          <w:bCs/>
          <w:spacing w:val="-3"/>
        </w:rPr>
        <w:t>Existing Criteria</w:t>
      </w:r>
    </w:p>
    <w:p w14:paraId="03479354" w14:textId="77777777" w:rsidR="004C5767" w:rsidRPr="00C64783" w:rsidRDefault="004C5767" w:rsidP="00E23EC0">
      <w:pPr>
        <w:rPr>
          <w:rFonts w:cs="Arial"/>
          <w:szCs w:val="20"/>
        </w:rPr>
      </w:pPr>
    </w:p>
    <w:p w14:paraId="6413BFE8" w14:textId="77777777" w:rsidR="00AE77DB" w:rsidRPr="00C64783" w:rsidRDefault="00AE77DB" w:rsidP="004C5767">
      <w:pPr>
        <w:pStyle w:val="Heading1"/>
        <w:rPr>
          <w:lang w:val="en-US"/>
        </w:rPr>
      </w:pPr>
      <w:r w:rsidRPr="00C64783">
        <w:rPr>
          <w:lang w:val="en-US"/>
        </w:rPr>
        <w:t xml:space="preserve">Executive Summary </w:t>
      </w:r>
    </w:p>
    <w:p w14:paraId="706FFC95" w14:textId="77777777" w:rsidR="00B33693" w:rsidRPr="00C64783" w:rsidRDefault="00E23EC0" w:rsidP="00696E3A">
      <w:pPr>
        <w:rPr>
          <w:b/>
          <w:bCs/>
        </w:rPr>
      </w:pPr>
      <w:r w:rsidRPr="00C64783">
        <w:rPr>
          <w:b/>
          <w:bCs/>
        </w:rPr>
        <w:t>Purpose:</w:t>
      </w:r>
      <w:r w:rsidR="00290A03" w:rsidRPr="00C64783">
        <w:rPr>
          <w:b/>
          <w:bCs/>
        </w:rPr>
        <w:t xml:space="preserve"> </w:t>
      </w:r>
    </w:p>
    <w:p w14:paraId="33DF7A62" w14:textId="4ACD2FC0" w:rsidR="00D47996" w:rsidRPr="00C64783" w:rsidRDefault="79EEA449" w:rsidP="00696E3A">
      <w:r w:rsidRPr="00C64783">
        <w:t>Ensure appropriate utilization and control of</w:t>
      </w:r>
      <w:r w:rsidR="00D47996" w:rsidRPr="00C64783">
        <w:t xml:space="preserve"> </w:t>
      </w:r>
      <w:proofErr w:type="spellStart"/>
      <w:r w:rsidR="00A461CF" w:rsidRPr="00C64783">
        <w:rPr>
          <w:rFonts w:cs="Arial"/>
          <w:spacing w:val="-3"/>
        </w:rPr>
        <w:t>Imcivree</w:t>
      </w:r>
      <w:proofErr w:type="spellEnd"/>
      <w:r w:rsidR="000474AA" w:rsidRPr="008E73D6">
        <w:rPr>
          <w:rFonts w:cs="Arial"/>
          <w:spacing w:val="-3"/>
          <w:vertAlign w:val="superscript"/>
        </w:rPr>
        <w:t>®</w:t>
      </w:r>
      <w:r w:rsidR="00A461CF" w:rsidRPr="00C64783">
        <w:rPr>
          <w:rFonts w:cs="Arial"/>
          <w:spacing w:val="-3"/>
        </w:rPr>
        <w:t xml:space="preserve"> (</w:t>
      </w:r>
      <w:proofErr w:type="spellStart"/>
      <w:r w:rsidR="00A461CF" w:rsidRPr="00C64783">
        <w:rPr>
          <w:rFonts w:cs="Arial"/>
          <w:spacing w:val="-3"/>
        </w:rPr>
        <w:t>setmelanotide</w:t>
      </w:r>
      <w:proofErr w:type="spellEnd"/>
      <w:r w:rsidR="00A461CF" w:rsidRPr="00C64783">
        <w:rPr>
          <w:rFonts w:cs="Arial"/>
          <w:spacing w:val="-3"/>
        </w:rPr>
        <w:t>)</w:t>
      </w:r>
      <w:r w:rsidR="00D47996" w:rsidRPr="00C64783">
        <w:t xml:space="preserve"> </w:t>
      </w:r>
    </w:p>
    <w:p w14:paraId="2320C114" w14:textId="4452B466" w:rsidR="00E23EC0" w:rsidRPr="00C64783" w:rsidRDefault="00E23EC0" w:rsidP="00696E3A">
      <w:pPr>
        <w:rPr>
          <w:rFonts w:cs="Arial"/>
          <w:szCs w:val="20"/>
        </w:rPr>
      </w:pPr>
      <w:r w:rsidRPr="00C64783">
        <w:tab/>
      </w:r>
    </w:p>
    <w:p w14:paraId="3A9BE506" w14:textId="11761DC1" w:rsidR="00E23EC0" w:rsidRPr="00C64783" w:rsidRDefault="00E23EC0" w:rsidP="00696E3A">
      <w:pPr>
        <w:rPr>
          <w:b/>
          <w:bCs/>
        </w:rPr>
      </w:pPr>
      <w:r w:rsidRPr="00C64783">
        <w:rPr>
          <w:b/>
          <w:bCs/>
        </w:rPr>
        <w:t>Why Issue Selected:</w:t>
      </w:r>
    </w:p>
    <w:p w14:paraId="47906C85" w14:textId="603A3F99" w:rsidR="00E37A44" w:rsidRPr="00C64783" w:rsidRDefault="00E37A44" w:rsidP="00E37A44">
      <w:pPr>
        <w:pStyle w:val="Header"/>
        <w:rPr>
          <w:rFonts w:cs="Arial"/>
          <w:spacing w:val="-3"/>
          <w:sz w:val="20"/>
        </w:rPr>
      </w:pPr>
      <w:r w:rsidRPr="00C64783">
        <w:rPr>
          <w:rFonts w:cs="Arial"/>
          <w:spacing w:val="-3"/>
          <w:sz w:val="20"/>
        </w:rPr>
        <w:t xml:space="preserve">In November of 2020, </w:t>
      </w:r>
      <w:proofErr w:type="spellStart"/>
      <w:r w:rsidRPr="00C64783">
        <w:rPr>
          <w:rFonts w:cs="Arial"/>
          <w:spacing w:val="-3"/>
          <w:sz w:val="20"/>
        </w:rPr>
        <w:t>Imcivree</w:t>
      </w:r>
      <w:proofErr w:type="spellEnd"/>
      <w:r w:rsidR="000474AA" w:rsidRPr="00C64783">
        <w:rPr>
          <w:rFonts w:cs="Arial"/>
          <w:spacing w:val="-3"/>
          <w:sz w:val="20"/>
          <w:vertAlign w:val="superscript"/>
        </w:rPr>
        <w:t>®</w:t>
      </w:r>
      <w:r w:rsidRPr="00C64783">
        <w:rPr>
          <w:rFonts w:cs="Arial"/>
          <w:spacing w:val="-3"/>
          <w:sz w:val="20"/>
        </w:rPr>
        <w:t xml:space="preserve"> (</w:t>
      </w:r>
      <w:proofErr w:type="spellStart"/>
      <w:r w:rsidRPr="00C64783">
        <w:rPr>
          <w:rFonts w:cs="Arial"/>
          <w:spacing w:val="-3"/>
          <w:sz w:val="20"/>
        </w:rPr>
        <w:t>setmelanotide</w:t>
      </w:r>
      <w:proofErr w:type="spellEnd"/>
      <w:r w:rsidRPr="00C64783">
        <w:rPr>
          <w:rFonts w:cs="Arial"/>
          <w:spacing w:val="-3"/>
          <w:sz w:val="20"/>
        </w:rPr>
        <w:t xml:space="preserve">) was FDA approved for chronic weight management in adult and pediatric patients 6 years of age and older with obesity due to proopiomelanocortin (POMC), proprotein convertase subtilisin/kexin type 1 (PCSK1), or leptin receptor (LEPR) deficiency confirmed by genetic testing demonstrating variants that are interpreted as pathogenic, likely pathogenic, or of uncertain significance (VUS). Deficiencies in POMC, PCSK1, and LEPR, which are ultra-rare and underdiagnosed, are caused by variants in </w:t>
      </w:r>
      <w:r w:rsidRPr="00C64783">
        <w:rPr>
          <w:rFonts w:cs="Arial"/>
          <w:i/>
          <w:iCs/>
          <w:spacing w:val="-3"/>
          <w:sz w:val="20"/>
        </w:rPr>
        <w:t>POMC</w:t>
      </w:r>
      <w:r w:rsidRPr="00C64783">
        <w:rPr>
          <w:rFonts w:cs="Arial"/>
          <w:spacing w:val="-3"/>
          <w:sz w:val="20"/>
        </w:rPr>
        <w:t xml:space="preserve">, </w:t>
      </w:r>
      <w:r w:rsidRPr="00C64783">
        <w:rPr>
          <w:rFonts w:cs="Arial"/>
          <w:i/>
          <w:iCs/>
          <w:spacing w:val="-3"/>
          <w:sz w:val="20"/>
        </w:rPr>
        <w:t>PCSK1</w:t>
      </w:r>
      <w:r w:rsidRPr="00C64783">
        <w:rPr>
          <w:rFonts w:cs="Arial"/>
          <w:spacing w:val="-3"/>
          <w:sz w:val="20"/>
        </w:rPr>
        <w:t xml:space="preserve"> or </w:t>
      </w:r>
      <w:r w:rsidRPr="00C64783">
        <w:rPr>
          <w:rFonts w:cs="Arial"/>
          <w:i/>
          <w:iCs/>
          <w:spacing w:val="-3"/>
          <w:sz w:val="20"/>
        </w:rPr>
        <w:t>LEPR</w:t>
      </w:r>
      <w:r w:rsidRPr="00C64783">
        <w:rPr>
          <w:rFonts w:cs="Arial"/>
          <w:spacing w:val="-3"/>
          <w:sz w:val="20"/>
        </w:rPr>
        <w:t xml:space="preserve"> genes and impair the MC4 receptor pathway in the hypothalamus. This pathway is responsible for regulating hunger and energy expenditure. Patients with these deficiencies experience symptoms such as extreme hunger and subsequent weight gain manifesting in morbid obesity, often as early as infancy. These patients can also experience many comorbid disorders of the endocrine system like adrenal insufficiency, hypothyroidism, and hypogonadism. Imcivree is a melanocortin-4 receptor (MC4R) agonist that is intended to partially or completely restore signaling at the MC4 receptor, thus directly impacting the cause of the obesity. Until the approval of Imcivree, there were no other FDA-approved treatment alternatives that target the underlying cause of obesity in this patient population. In June of 2022, Imcivree gained FDA-approval for the indication of chronic weight management in adult and pediatric patients aged 6 years and older with obesity due to Bardet-Biedl syndrome. In December of 2024 the FDA approved an expanded indication to include children as young as 2 years old.</w:t>
      </w:r>
    </w:p>
    <w:p w14:paraId="0AA0105F" w14:textId="77777777" w:rsidR="00E37A44" w:rsidRPr="00C64783" w:rsidRDefault="00E37A44" w:rsidP="00E37A44">
      <w:pPr>
        <w:pStyle w:val="Header"/>
        <w:rPr>
          <w:rFonts w:cs="Arial"/>
          <w:spacing w:val="-3"/>
          <w:sz w:val="20"/>
        </w:rPr>
      </w:pPr>
    </w:p>
    <w:p w14:paraId="7ACECC9F" w14:textId="400CEC80" w:rsidR="00B56DCC" w:rsidRPr="00C64783" w:rsidRDefault="00E37A44" w:rsidP="00E37A44">
      <w:pPr>
        <w:rPr>
          <w:rFonts w:cs="Arial"/>
          <w:spacing w:val="-3"/>
        </w:rPr>
      </w:pPr>
      <w:r w:rsidRPr="00C64783">
        <w:rPr>
          <w:rFonts w:cs="Arial"/>
          <w:spacing w:val="-3"/>
        </w:rPr>
        <w:t>Due to the high cost and specific approved indication, MO HealthNet will impose clinical criteria to ensure appropriate utilization of Imcivree.</w:t>
      </w:r>
    </w:p>
    <w:p w14:paraId="0D38A0B8" w14:textId="77777777" w:rsidR="00E37A44" w:rsidRPr="00C64783" w:rsidRDefault="00E37A44" w:rsidP="00E37A44"/>
    <w:p w14:paraId="5B5260CF" w14:textId="2AD41987" w:rsidR="003D4704" w:rsidRPr="00C64783" w:rsidRDefault="003D4704" w:rsidP="003D4704">
      <w:r w:rsidRPr="00C64783">
        <w:rPr>
          <w:b/>
          <w:bCs/>
        </w:rPr>
        <w:t xml:space="preserve">Program-Specific Information: </w:t>
      </w:r>
      <w:r w:rsidR="009B2FAD" w:rsidRPr="00C64783">
        <w:t>Date Range FFS 1-1-2025 to 12-31-2025</w:t>
      </w:r>
    </w:p>
    <w:tbl>
      <w:tblPr>
        <w:tblW w:w="9900" w:type="dxa"/>
        <w:tblInd w:w="-365" w:type="dxa"/>
        <w:tblLayout w:type="fixed"/>
        <w:tblLook w:val="04A0" w:firstRow="1" w:lastRow="0" w:firstColumn="1" w:lastColumn="0" w:noHBand="0" w:noVBand="1"/>
      </w:tblPr>
      <w:tblGrid>
        <w:gridCol w:w="3789"/>
        <w:gridCol w:w="1668"/>
        <w:gridCol w:w="1112"/>
        <w:gridCol w:w="1775"/>
        <w:gridCol w:w="1556"/>
      </w:tblGrid>
      <w:tr w:rsidR="00645E30" w:rsidRPr="00C64783" w14:paraId="4B8919BC" w14:textId="77777777" w:rsidTr="0058372B">
        <w:trPr>
          <w:trHeight w:hRule="exact" w:val="667"/>
        </w:trPr>
        <w:tc>
          <w:tcPr>
            <w:tcW w:w="378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770034D" w14:textId="77777777" w:rsidR="00645E30" w:rsidRPr="00C64783" w:rsidRDefault="00645E30" w:rsidP="00235AFC">
            <w:pPr>
              <w:jc w:val="center"/>
              <w:rPr>
                <w:rFonts w:cs="Arial"/>
                <w:b/>
                <w:spacing w:val="-3"/>
                <w:szCs w:val="20"/>
              </w:rPr>
            </w:pPr>
            <w:r w:rsidRPr="00C64783">
              <w:rPr>
                <w:rFonts w:cs="Arial"/>
                <w:b/>
                <w:spacing w:val="-3"/>
                <w:szCs w:val="20"/>
              </w:rPr>
              <w:t>Drug</w:t>
            </w:r>
          </w:p>
        </w:tc>
        <w:tc>
          <w:tcPr>
            <w:tcW w:w="166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F3B66A8" w14:textId="77777777" w:rsidR="00645E30" w:rsidRPr="00C64783" w:rsidRDefault="00645E30" w:rsidP="00235AFC">
            <w:pPr>
              <w:jc w:val="center"/>
              <w:rPr>
                <w:rFonts w:cs="Arial"/>
                <w:b/>
                <w:spacing w:val="-3"/>
                <w:szCs w:val="20"/>
              </w:rPr>
            </w:pPr>
            <w:r w:rsidRPr="00C64783">
              <w:rPr>
                <w:rFonts w:cs="Arial"/>
                <w:b/>
                <w:spacing w:val="-3"/>
                <w:szCs w:val="20"/>
              </w:rPr>
              <w:t>Participants</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4DE1205" w14:textId="77777777" w:rsidR="00645E30" w:rsidRPr="00C64783" w:rsidRDefault="00645E30" w:rsidP="00235AFC">
            <w:pPr>
              <w:jc w:val="center"/>
              <w:rPr>
                <w:rFonts w:cs="Arial"/>
                <w:b/>
                <w:spacing w:val="-3"/>
                <w:szCs w:val="20"/>
              </w:rPr>
            </w:pPr>
            <w:r w:rsidRPr="00C64783">
              <w:rPr>
                <w:rFonts w:cs="Arial"/>
                <w:b/>
                <w:spacing w:val="-3"/>
                <w:szCs w:val="20"/>
              </w:rPr>
              <w:t>Claims</w:t>
            </w:r>
          </w:p>
        </w:tc>
        <w:tc>
          <w:tcPr>
            <w:tcW w:w="177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6664599" w14:textId="77777777" w:rsidR="00645E30" w:rsidRPr="00C64783" w:rsidRDefault="00645E30" w:rsidP="00235AFC">
            <w:pPr>
              <w:jc w:val="center"/>
              <w:rPr>
                <w:rFonts w:cs="Arial"/>
                <w:b/>
                <w:spacing w:val="-3"/>
                <w:szCs w:val="20"/>
              </w:rPr>
            </w:pPr>
            <w:r w:rsidRPr="00C64783">
              <w:rPr>
                <w:rFonts w:cs="Arial"/>
                <w:b/>
                <w:spacing w:val="-3"/>
                <w:szCs w:val="20"/>
              </w:rPr>
              <w:t>Spend</w:t>
            </w:r>
          </w:p>
        </w:tc>
        <w:tc>
          <w:tcPr>
            <w:tcW w:w="155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C88DB1F" w14:textId="77777777" w:rsidR="00645E30" w:rsidRPr="00C64783" w:rsidRDefault="00645E30" w:rsidP="00235AFC">
            <w:pPr>
              <w:jc w:val="center"/>
              <w:rPr>
                <w:rFonts w:cs="Arial"/>
                <w:b/>
                <w:spacing w:val="-3"/>
                <w:szCs w:val="20"/>
              </w:rPr>
            </w:pPr>
            <w:r w:rsidRPr="00C64783">
              <w:rPr>
                <w:rFonts w:cs="Arial"/>
                <w:b/>
                <w:spacing w:val="-3"/>
                <w:szCs w:val="20"/>
              </w:rPr>
              <w:t xml:space="preserve">Avg Spend </w:t>
            </w:r>
          </w:p>
          <w:p w14:paraId="794AF43F" w14:textId="77777777" w:rsidR="00645E30" w:rsidRPr="00C64783" w:rsidRDefault="00645E30" w:rsidP="00235AFC">
            <w:pPr>
              <w:jc w:val="center"/>
              <w:rPr>
                <w:rFonts w:cs="Arial"/>
                <w:b/>
                <w:spacing w:val="-3"/>
                <w:szCs w:val="20"/>
              </w:rPr>
            </w:pPr>
            <w:r w:rsidRPr="00C64783">
              <w:rPr>
                <w:rFonts w:cs="Arial"/>
                <w:b/>
                <w:spacing w:val="-3"/>
                <w:szCs w:val="20"/>
              </w:rPr>
              <w:t>per Claim</w:t>
            </w:r>
          </w:p>
        </w:tc>
      </w:tr>
      <w:tr w:rsidR="0058372B" w:rsidRPr="00C64783" w14:paraId="4DB893F9" w14:textId="77777777" w:rsidTr="0058372B">
        <w:trPr>
          <w:trHeight w:val="60"/>
        </w:trPr>
        <w:tc>
          <w:tcPr>
            <w:tcW w:w="3789" w:type="dxa"/>
            <w:tcBorders>
              <w:top w:val="single" w:sz="4" w:space="0" w:color="auto"/>
              <w:left w:val="single" w:sz="4" w:space="0" w:color="999999"/>
              <w:bottom w:val="single" w:sz="4" w:space="0" w:color="auto"/>
              <w:right w:val="single" w:sz="4" w:space="0" w:color="auto"/>
            </w:tcBorders>
            <w:vAlign w:val="bottom"/>
          </w:tcPr>
          <w:p w14:paraId="65AD1D15" w14:textId="77777777" w:rsidR="0058372B" w:rsidRPr="00C64783" w:rsidRDefault="0058372B" w:rsidP="0058372B">
            <w:pPr>
              <w:rPr>
                <w:rFonts w:cs="Arial"/>
                <w:spacing w:val="-3"/>
                <w:szCs w:val="20"/>
                <w:highlight w:val="yellow"/>
              </w:rPr>
            </w:pPr>
            <w:r w:rsidRPr="00C64783">
              <w:rPr>
                <w:rFonts w:cs="Arial"/>
                <w:szCs w:val="20"/>
              </w:rPr>
              <w:t>IMCIVREE 10 MG/ML VIAL</w:t>
            </w:r>
          </w:p>
        </w:tc>
        <w:tc>
          <w:tcPr>
            <w:tcW w:w="1668" w:type="dxa"/>
            <w:tcBorders>
              <w:top w:val="single" w:sz="4" w:space="0" w:color="auto"/>
              <w:left w:val="single" w:sz="4" w:space="0" w:color="999999"/>
              <w:bottom w:val="single" w:sz="4" w:space="0" w:color="auto"/>
              <w:right w:val="single" w:sz="4" w:space="0" w:color="auto"/>
            </w:tcBorders>
            <w:vAlign w:val="bottom"/>
          </w:tcPr>
          <w:p w14:paraId="3D419C06" w14:textId="05D087B1" w:rsidR="0058372B" w:rsidRPr="00C64783" w:rsidRDefault="0058372B" w:rsidP="0058372B">
            <w:pPr>
              <w:jc w:val="center"/>
              <w:rPr>
                <w:rFonts w:cs="Arial"/>
                <w:spacing w:val="-3"/>
                <w:szCs w:val="20"/>
                <w:highlight w:val="yellow"/>
              </w:rPr>
            </w:pPr>
            <w:r w:rsidRPr="00C64783">
              <w:rPr>
                <w:rFonts w:cs="Arial"/>
                <w:spacing w:val="-3"/>
                <w:szCs w:val="20"/>
              </w:rPr>
              <w:t>6</w:t>
            </w:r>
          </w:p>
        </w:tc>
        <w:tc>
          <w:tcPr>
            <w:tcW w:w="1112" w:type="dxa"/>
            <w:tcBorders>
              <w:top w:val="single" w:sz="4" w:space="0" w:color="auto"/>
              <w:left w:val="single" w:sz="4" w:space="0" w:color="auto"/>
              <w:bottom w:val="single" w:sz="4" w:space="0" w:color="auto"/>
              <w:right w:val="single" w:sz="4" w:space="0" w:color="auto"/>
            </w:tcBorders>
            <w:vAlign w:val="bottom"/>
          </w:tcPr>
          <w:p w14:paraId="190B7384" w14:textId="5F2A5640" w:rsidR="0058372B" w:rsidRPr="00C64783" w:rsidRDefault="0058372B" w:rsidP="0058372B">
            <w:pPr>
              <w:jc w:val="center"/>
              <w:rPr>
                <w:rFonts w:cs="Arial"/>
                <w:spacing w:val="-3"/>
                <w:szCs w:val="20"/>
                <w:highlight w:val="yellow"/>
              </w:rPr>
            </w:pPr>
            <w:r w:rsidRPr="00C64783">
              <w:rPr>
                <w:rFonts w:cs="Arial"/>
                <w:szCs w:val="20"/>
              </w:rPr>
              <w:t>20</w:t>
            </w:r>
          </w:p>
        </w:tc>
        <w:tc>
          <w:tcPr>
            <w:tcW w:w="1775" w:type="dxa"/>
            <w:tcBorders>
              <w:top w:val="single" w:sz="4" w:space="0" w:color="auto"/>
              <w:left w:val="single" w:sz="4" w:space="0" w:color="auto"/>
              <w:bottom w:val="single" w:sz="4" w:space="0" w:color="auto"/>
              <w:right w:val="single" w:sz="4" w:space="0" w:color="auto"/>
            </w:tcBorders>
            <w:vAlign w:val="bottom"/>
          </w:tcPr>
          <w:p w14:paraId="675B408E" w14:textId="6E78EBD4" w:rsidR="0058372B" w:rsidRPr="00C64783" w:rsidRDefault="0058372B" w:rsidP="0058372B">
            <w:pPr>
              <w:jc w:val="center"/>
              <w:rPr>
                <w:rFonts w:cs="Arial"/>
                <w:spacing w:val="-3"/>
                <w:szCs w:val="20"/>
                <w:highlight w:val="yellow"/>
              </w:rPr>
            </w:pPr>
            <w:r w:rsidRPr="00C64783">
              <w:rPr>
                <w:rFonts w:cs="Arial"/>
                <w:szCs w:val="20"/>
              </w:rPr>
              <w:t>$676,984.23</w:t>
            </w:r>
          </w:p>
        </w:tc>
        <w:tc>
          <w:tcPr>
            <w:tcW w:w="1556" w:type="dxa"/>
            <w:tcBorders>
              <w:top w:val="single" w:sz="4" w:space="0" w:color="auto"/>
              <w:left w:val="single" w:sz="4" w:space="0" w:color="auto"/>
              <w:bottom w:val="single" w:sz="4" w:space="0" w:color="auto"/>
              <w:right w:val="single" w:sz="4" w:space="0" w:color="auto"/>
            </w:tcBorders>
            <w:vAlign w:val="bottom"/>
          </w:tcPr>
          <w:p w14:paraId="32C86ADE" w14:textId="77A742D8" w:rsidR="0058372B" w:rsidRPr="00C64783" w:rsidRDefault="0058372B" w:rsidP="0058372B">
            <w:pPr>
              <w:jc w:val="center"/>
              <w:rPr>
                <w:rFonts w:cs="Arial"/>
                <w:spacing w:val="-3"/>
                <w:szCs w:val="20"/>
                <w:highlight w:val="yellow"/>
              </w:rPr>
            </w:pPr>
            <w:r w:rsidRPr="00C64783">
              <w:rPr>
                <w:rFonts w:cs="Arial"/>
                <w:szCs w:val="20"/>
              </w:rPr>
              <w:t>$33,849.21</w:t>
            </w:r>
          </w:p>
        </w:tc>
      </w:tr>
    </w:tbl>
    <w:p w14:paraId="4691DC98" w14:textId="77777777" w:rsidR="003D4704" w:rsidRPr="00C64783" w:rsidRDefault="003D4704" w:rsidP="003D4704">
      <w:pPr>
        <w:rPr>
          <w:rFonts w:cs="Arial"/>
          <w:szCs w:val="20"/>
        </w:rPr>
      </w:pPr>
    </w:p>
    <w:p w14:paraId="6413C027" w14:textId="18F824F6" w:rsidR="00AE77DB" w:rsidRPr="00C64783" w:rsidRDefault="00AE77DB" w:rsidP="00E354AA">
      <w:pPr>
        <w:pStyle w:val="Heading1"/>
        <w:rPr>
          <w:lang w:val="en-US"/>
        </w:rPr>
      </w:pPr>
      <w:r w:rsidRPr="00C64783">
        <w:rPr>
          <w:lang w:val="en-US"/>
        </w:rPr>
        <w:t xml:space="preserve">Setting &amp; Population </w:t>
      </w:r>
    </w:p>
    <w:p w14:paraId="04B7FBFB" w14:textId="3523F74E" w:rsidR="0097028A" w:rsidRPr="00C64783" w:rsidRDefault="0097028A" w:rsidP="00696E3A">
      <w:pPr>
        <w:rPr>
          <w:b/>
        </w:rPr>
      </w:pPr>
      <w:r w:rsidRPr="00C64783">
        <w:rPr>
          <w:b/>
          <w:bCs/>
        </w:rPr>
        <w:t>Drug class for review:</w:t>
      </w:r>
      <w:r w:rsidRPr="00C64783">
        <w:t xml:space="preserve"> </w:t>
      </w:r>
      <w:proofErr w:type="spellStart"/>
      <w:r w:rsidR="00AF6EDC" w:rsidRPr="00C64783">
        <w:rPr>
          <w:rFonts w:cs="Arial"/>
          <w:szCs w:val="20"/>
        </w:rPr>
        <w:t>Imcivree</w:t>
      </w:r>
      <w:proofErr w:type="spellEnd"/>
      <w:r w:rsidR="00320F91" w:rsidRPr="00C64783">
        <w:rPr>
          <w:rFonts w:cs="Arial"/>
          <w:szCs w:val="20"/>
          <w:vertAlign w:val="superscript"/>
        </w:rPr>
        <w:t>®</w:t>
      </w:r>
      <w:r w:rsidR="00AF6EDC" w:rsidRPr="00C64783">
        <w:rPr>
          <w:rFonts w:cs="Arial"/>
          <w:szCs w:val="20"/>
        </w:rPr>
        <w:t xml:space="preserve"> (</w:t>
      </w:r>
      <w:proofErr w:type="spellStart"/>
      <w:r w:rsidR="00AF6EDC" w:rsidRPr="00C64783">
        <w:rPr>
          <w:rFonts w:cs="Arial"/>
          <w:szCs w:val="20"/>
        </w:rPr>
        <w:t>setmelanotide</w:t>
      </w:r>
      <w:proofErr w:type="spellEnd"/>
      <w:r w:rsidR="00AF6EDC" w:rsidRPr="00C64783">
        <w:rPr>
          <w:rFonts w:cs="Arial"/>
          <w:szCs w:val="20"/>
        </w:rPr>
        <w:t>)</w:t>
      </w:r>
    </w:p>
    <w:p w14:paraId="26CFE8A0" w14:textId="1E835D2E" w:rsidR="008524BA" w:rsidRPr="00C64783" w:rsidRDefault="0097028A" w:rsidP="00696E3A">
      <w:pPr>
        <w:rPr>
          <w:rFonts w:cs="Arial"/>
          <w:b/>
        </w:rPr>
      </w:pPr>
      <w:r w:rsidRPr="00C64783">
        <w:rPr>
          <w:b/>
          <w:bCs/>
        </w:rPr>
        <w:t>Age range:</w:t>
      </w:r>
      <w:r w:rsidRPr="00C64783">
        <w:t xml:space="preserve"> </w:t>
      </w:r>
      <w:r w:rsidR="00551668" w:rsidRPr="00C64783">
        <w:rPr>
          <w:rFonts w:cs="Arial"/>
        </w:rPr>
        <w:t>All appropriate MO HealthNet participants</w:t>
      </w:r>
      <w:r w:rsidR="0088105B" w:rsidRPr="00C64783">
        <w:rPr>
          <w:rFonts w:cs="Arial"/>
          <w:szCs w:val="20"/>
        </w:rPr>
        <w:t xml:space="preserve"> aged </w:t>
      </w:r>
      <w:r w:rsidR="0088105B" w:rsidRPr="00C64783">
        <w:rPr>
          <w:rFonts w:eastAsia="Arial" w:cs="Arial"/>
          <w:szCs w:val="20"/>
        </w:rPr>
        <w:t>2</w:t>
      </w:r>
      <w:r w:rsidR="0088105B" w:rsidRPr="00C64783">
        <w:rPr>
          <w:rFonts w:cs="Arial"/>
          <w:szCs w:val="20"/>
        </w:rPr>
        <w:t xml:space="preserve"> years or older</w:t>
      </w:r>
    </w:p>
    <w:p w14:paraId="7F2A9816" w14:textId="77777777" w:rsidR="005328B2" w:rsidRPr="00C64783" w:rsidRDefault="005328B2" w:rsidP="005328B2">
      <w:pPr>
        <w:rPr>
          <w:rFonts w:cs="Arial"/>
          <w:szCs w:val="20"/>
        </w:rPr>
      </w:pPr>
    </w:p>
    <w:p w14:paraId="41CA1AC8" w14:textId="77777777" w:rsidR="00537A3A" w:rsidRPr="00C64783" w:rsidRDefault="00537A3A" w:rsidP="005328B2">
      <w:pPr>
        <w:rPr>
          <w:rFonts w:cs="Arial"/>
          <w:szCs w:val="20"/>
        </w:rPr>
      </w:pPr>
    </w:p>
    <w:p w14:paraId="18C0220B" w14:textId="77777777" w:rsidR="00537A3A" w:rsidRPr="00C64783" w:rsidRDefault="00537A3A" w:rsidP="005328B2">
      <w:pPr>
        <w:rPr>
          <w:rFonts w:cs="Arial"/>
          <w:szCs w:val="20"/>
        </w:rPr>
      </w:pPr>
    </w:p>
    <w:p w14:paraId="6413C035" w14:textId="4FE30429" w:rsidR="00AE77DB" w:rsidRPr="00C64783" w:rsidRDefault="00AE77DB" w:rsidP="0097028A">
      <w:pPr>
        <w:pStyle w:val="Heading1"/>
        <w:rPr>
          <w:lang w:val="en-US"/>
        </w:rPr>
      </w:pPr>
      <w:r w:rsidRPr="00C64783">
        <w:rPr>
          <w:lang w:val="en-US"/>
        </w:rPr>
        <w:lastRenderedPageBreak/>
        <w:t>Approval Criteria</w:t>
      </w:r>
    </w:p>
    <w:p w14:paraId="4BAA1D7A" w14:textId="77777777" w:rsidR="00635DDB" w:rsidRPr="00C64783" w:rsidRDefault="00635DDB" w:rsidP="00635DDB">
      <w:pPr>
        <w:rPr>
          <w:b/>
          <w:bCs/>
        </w:rPr>
      </w:pPr>
      <w:r w:rsidRPr="00C64783">
        <w:rPr>
          <w:b/>
          <w:bCs/>
        </w:rPr>
        <w:t>Initial Therapy:</w:t>
      </w:r>
    </w:p>
    <w:p w14:paraId="417BF4CE" w14:textId="77777777" w:rsidR="00537A3A" w:rsidRPr="00C64783" w:rsidRDefault="00537A3A" w:rsidP="00537A3A">
      <w:pPr>
        <w:pStyle w:val="ListParagraph"/>
        <w:numPr>
          <w:ilvl w:val="0"/>
          <w:numId w:val="17"/>
        </w:numPr>
        <w:contextualSpacing w:val="0"/>
        <w:rPr>
          <w:rFonts w:eastAsia="Arial" w:cs="Arial"/>
          <w:szCs w:val="20"/>
        </w:rPr>
      </w:pPr>
      <w:r w:rsidRPr="00C64783">
        <w:rPr>
          <w:rFonts w:eastAsia="Arial" w:cs="Arial"/>
          <w:szCs w:val="20"/>
        </w:rPr>
        <w:t>Must meet all of the following:</w:t>
      </w:r>
    </w:p>
    <w:p w14:paraId="4B6B50B0" w14:textId="77777777" w:rsidR="00537A3A" w:rsidRPr="00C64783" w:rsidRDefault="00537A3A" w:rsidP="00537A3A">
      <w:pPr>
        <w:pStyle w:val="ListParagraph"/>
        <w:numPr>
          <w:ilvl w:val="1"/>
          <w:numId w:val="17"/>
        </w:numPr>
        <w:contextualSpacing w:val="0"/>
        <w:rPr>
          <w:rFonts w:eastAsia="Arial" w:cs="Arial"/>
          <w:szCs w:val="20"/>
        </w:rPr>
      </w:pPr>
      <w:r w:rsidRPr="00C64783">
        <w:rPr>
          <w:rFonts w:eastAsia="Arial" w:cs="Arial"/>
          <w:szCs w:val="20"/>
        </w:rPr>
        <w:t>Prescribed by or in consultation with an appropriate specialist for the treated disease state;</w:t>
      </w:r>
    </w:p>
    <w:p w14:paraId="6F033F36" w14:textId="77777777" w:rsidR="00537A3A" w:rsidRPr="00C64783" w:rsidRDefault="00537A3A" w:rsidP="00537A3A">
      <w:pPr>
        <w:pStyle w:val="ListParagraph"/>
        <w:numPr>
          <w:ilvl w:val="1"/>
          <w:numId w:val="17"/>
        </w:numPr>
        <w:contextualSpacing w:val="0"/>
        <w:rPr>
          <w:rFonts w:eastAsia="Arial" w:cs="Arial"/>
          <w:szCs w:val="20"/>
        </w:rPr>
      </w:pPr>
      <w:r w:rsidRPr="00C64783">
        <w:rPr>
          <w:rFonts w:eastAsia="Arial" w:cs="Arial"/>
          <w:szCs w:val="20"/>
        </w:rPr>
        <w:t xml:space="preserve">Participant is 2 years of age or older; </w:t>
      </w:r>
      <w:r w:rsidRPr="00C64783">
        <w:rPr>
          <w:rFonts w:eastAsia="Arial" w:cs="Arial"/>
          <w:b/>
          <w:bCs/>
          <w:szCs w:val="20"/>
        </w:rPr>
        <w:t>AND</w:t>
      </w:r>
    </w:p>
    <w:p w14:paraId="6A9CDB33" w14:textId="77777777" w:rsidR="00537A3A" w:rsidRPr="00C64783" w:rsidRDefault="00537A3A" w:rsidP="00537A3A">
      <w:pPr>
        <w:pStyle w:val="ListParagraph"/>
        <w:numPr>
          <w:ilvl w:val="1"/>
          <w:numId w:val="17"/>
        </w:numPr>
        <w:contextualSpacing w:val="0"/>
        <w:rPr>
          <w:rFonts w:eastAsia="Arial" w:cs="Arial"/>
          <w:szCs w:val="20"/>
        </w:rPr>
      </w:pPr>
      <w:r w:rsidRPr="00C64783">
        <w:rPr>
          <w:rFonts w:eastAsia="Arial" w:cs="Arial"/>
          <w:szCs w:val="20"/>
        </w:rPr>
        <w:t>Participant has a diagnosis of obesity, defined as:</w:t>
      </w:r>
    </w:p>
    <w:p w14:paraId="1E92129D" w14:textId="77777777" w:rsidR="00537A3A" w:rsidRPr="00C64783" w:rsidRDefault="00537A3A" w:rsidP="00537A3A">
      <w:pPr>
        <w:pStyle w:val="ListParagraph"/>
        <w:numPr>
          <w:ilvl w:val="2"/>
          <w:numId w:val="17"/>
        </w:numPr>
        <w:contextualSpacing w:val="0"/>
        <w:rPr>
          <w:rFonts w:eastAsia="Arial" w:cs="Arial"/>
          <w:szCs w:val="20"/>
        </w:rPr>
      </w:pPr>
      <w:r w:rsidRPr="00C64783">
        <w:rPr>
          <w:rFonts w:eastAsia="Arial" w:cs="Arial"/>
          <w:szCs w:val="20"/>
        </w:rPr>
        <w:t>≥ 95</w:t>
      </w:r>
      <w:r w:rsidRPr="00C64783">
        <w:rPr>
          <w:rFonts w:eastAsia="Arial" w:cs="Arial"/>
          <w:szCs w:val="20"/>
          <w:vertAlign w:val="superscript"/>
        </w:rPr>
        <w:t>th</w:t>
      </w:r>
      <w:r w:rsidRPr="00C64783">
        <w:rPr>
          <w:rFonts w:eastAsia="Arial" w:cs="Arial"/>
          <w:szCs w:val="20"/>
        </w:rPr>
        <w:t xml:space="preserve"> percentile using growth chart assessments for participants with continued growth potential; </w:t>
      </w:r>
      <w:r w:rsidRPr="00C64783">
        <w:rPr>
          <w:rFonts w:eastAsia="Arial" w:cs="Arial"/>
          <w:b/>
          <w:bCs/>
          <w:szCs w:val="20"/>
        </w:rPr>
        <w:t>OR</w:t>
      </w:r>
    </w:p>
    <w:p w14:paraId="64E0D7C4" w14:textId="77777777" w:rsidR="00537A3A" w:rsidRPr="00C64783" w:rsidRDefault="00537A3A" w:rsidP="00537A3A">
      <w:pPr>
        <w:pStyle w:val="ListParagraph"/>
        <w:numPr>
          <w:ilvl w:val="2"/>
          <w:numId w:val="17"/>
        </w:numPr>
        <w:contextualSpacing w:val="0"/>
        <w:rPr>
          <w:rFonts w:eastAsia="Arial" w:cs="Arial"/>
          <w:szCs w:val="20"/>
        </w:rPr>
      </w:pPr>
      <w:r w:rsidRPr="00C64783">
        <w:rPr>
          <w:rFonts w:eastAsia="Arial" w:cs="Arial"/>
          <w:szCs w:val="20"/>
        </w:rPr>
        <w:t>BMI of ≥ 30 kg/m</w:t>
      </w:r>
      <w:r w:rsidRPr="00C64783">
        <w:rPr>
          <w:rFonts w:eastAsia="Arial" w:cs="Arial"/>
          <w:szCs w:val="20"/>
          <w:vertAlign w:val="superscript"/>
        </w:rPr>
        <w:t>2</w:t>
      </w:r>
      <w:r w:rsidRPr="00C64783">
        <w:rPr>
          <w:rFonts w:eastAsia="Arial" w:cs="Arial"/>
          <w:szCs w:val="20"/>
        </w:rPr>
        <w:t>.</w:t>
      </w:r>
    </w:p>
    <w:p w14:paraId="20C26607" w14:textId="77777777" w:rsidR="00537A3A" w:rsidRPr="00C64783" w:rsidRDefault="00537A3A" w:rsidP="00537A3A">
      <w:pPr>
        <w:pStyle w:val="ListParagraph"/>
        <w:numPr>
          <w:ilvl w:val="0"/>
          <w:numId w:val="16"/>
        </w:numPr>
        <w:contextualSpacing w:val="0"/>
        <w:rPr>
          <w:rFonts w:eastAsia="Arial" w:cs="Arial"/>
          <w:bCs/>
          <w:szCs w:val="20"/>
        </w:rPr>
      </w:pPr>
      <w:r w:rsidRPr="00C64783">
        <w:rPr>
          <w:rFonts w:eastAsia="Arial" w:cs="Arial"/>
          <w:bCs/>
          <w:szCs w:val="20"/>
        </w:rPr>
        <w:t>Must meet one of the following:</w:t>
      </w:r>
    </w:p>
    <w:p w14:paraId="5CD0DCA1" w14:textId="77777777" w:rsidR="00537A3A" w:rsidRPr="00C64783" w:rsidRDefault="00537A3A" w:rsidP="00537A3A">
      <w:pPr>
        <w:pStyle w:val="ListParagraph"/>
        <w:numPr>
          <w:ilvl w:val="1"/>
          <w:numId w:val="16"/>
        </w:numPr>
        <w:contextualSpacing w:val="0"/>
        <w:rPr>
          <w:rFonts w:eastAsia="Arial" w:cs="Arial"/>
          <w:bCs/>
          <w:szCs w:val="20"/>
        </w:rPr>
      </w:pPr>
      <w:r w:rsidRPr="00C64783">
        <w:rPr>
          <w:rFonts w:eastAsia="Arial" w:cs="Arial"/>
          <w:bCs/>
          <w:szCs w:val="20"/>
        </w:rPr>
        <w:t>Documentation that obesity is due to diagnosis of Bardet-Biedl Syndrome (BBS) confirmed by presence of four primary features associated with BBS or three primary features plus two secondary features:</w:t>
      </w:r>
    </w:p>
    <w:p w14:paraId="53ACEE45" w14:textId="77777777" w:rsidR="00537A3A" w:rsidRPr="00C64783" w:rsidRDefault="00537A3A" w:rsidP="00537A3A">
      <w:pPr>
        <w:pStyle w:val="ListParagraph"/>
        <w:numPr>
          <w:ilvl w:val="2"/>
          <w:numId w:val="16"/>
        </w:numPr>
        <w:contextualSpacing w:val="0"/>
        <w:rPr>
          <w:rFonts w:eastAsia="Arial" w:cs="Arial"/>
          <w:bCs/>
          <w:szCs w:val="20"/>
        </w:rPr>
      </w:pPr>
      <w:r w:rsidRPr="00C64783">
        <w:rPr>
          <w:rFonts w:eastAsia="Arial" w:cs="Arial"/>
          <w:bCs/>
          <w:szCs w:val="20"/>
        </w:rPr>
        <w:t>Primary features associated with BBS:</w:t>
      </w:r>
    </w:p>
    <w:p w14:paraId="2C3DA87B"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Rod-cone dystrophy</w:t>
      </w:r>
    </w:p>
    <w:p w14:paraId="5475413C"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Polydactyly</w:t>
      </w:r>
    </w:p>
    <w:p w14:paraId="315490BC"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Obesity</w:t>
      </w:r>
    </w:p>
    <w:p w14:paraId="14415264"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Learning disabilities</w:t>
      </w:r>
    </w:p>
    <w:p w14:paraId="290294DB"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Hypogonadism in males</w:t>
      </w:r>
    </w:p>
    <w:p w14:paraId="631556D2"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Renal abnormalities</w:t>
      </w:r>
    </w:p>
    <w:p w14:paraId="44B09825" w14:textId="77777777" w:rsidR="00537A3A" w:rsidRPr="00C64783" w:rsidRDefault="00537A3A" w:rsidP="00537A3A">
      <w:pPr>
        <w:pStyle w:val="ListParagraph"/>
        <w:numPr>
          <w:ilvl w:val="2"/>
          <w:numId w:val="16"/>
        </w:numPr>
        <w:contextualSpacing w:val="0"/>
        <w:rPr>
          <w:rFonts w:eastAsia="Arial" w:cs="Arial"/>
          <w:bCs/>
          <w:szCs w:val="20"/>
        </w:rPr>
      </w:pPr>
      <w:r w:rsidRPr="00C64783">
        <w:rPr>
          <w:rFonts w:eastAsia="Arial" w:cs="Arial"/>
          <w:bCs/>
          <w:szCs w:val="20"/>
        </w:rPr>
        <w:t>Secondary features associated with BBS:</w:t>
      </w:r>
    </w:p>
    <w:p w14:paraId="45C9A5D2"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Speech disorder/delay</w:t>
      </w:r>
    </w:p>
    <w:p w14:paraId="63EB5615"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Strabismus/cataracts/astigmatism</w:t>
      </w:r>
    </w:p>
    <w:p w14:paraId="565259F1"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Brachydactyly/syndactyly</w:t>
      </w:r>
    </w:p>
    <w:p w14:paraId="3051451F"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Developmental delay</w:t>
      </w:r>
    </w:p>
    <w:p w14:paraId="38D5968C"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Polyuria/polydipsia (nephrogenic diabetes insipidus)</w:t>
      </w:r>
    </w:p>
    <w:p w14:paraId="74FD3BFE"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Ataxia/poor coordination/imbalance</w:t>
      </w:r>
    </w:p>
    <w:p w14:paraId="31F375E3"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Mild spasticity (especially lower limbs)</w:t>
      </w:r>
    </w:p>
    <w:p w14:paraId="63FE4D9E"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Diabetes mellitus</w:t>
      </w:r>
    </w:p>
    <w:p w14:paraId="2DF4A388"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Dental crowding/hypodontia/small roots/high arched palate</w:t>
      </w:r>
    </w:p>
    <w:p w14:paraId="1D3258EC"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Left ventricular hypertrophy/congenital heart disease</w:t>
      </w:r>
    </w:p>
    <w:p w14:paraId="2F8A1846" w14:textId="77777777" w:rsidR="00537A3A" w:rsidRPr="00C64783" w:rsidRDefault="00537A3A" w:rsidP="00537A3A">
      <w:pPr>
        <w:pStyle w:val="ListParagraph"/>
        <w:numPr>
          <w:ilvl w:val="3"/>
          <w:numId w:val="16"/>
        </w:numPr>
        <w:ind w:left="1440"/>
        <w:contextualSpacing w:val="0"/>
        <w:rPr>
          <w:rFonts w:eastAsia="Arial" w:cs="Arial"/>
          <w:bCs/>
          <w:szCs w:val="20"/>
        </w:rPr>
      </w:pPr>
      <w:r w:rsidRPr="00C64783">
        <w:rPr>
          <w:rFonts w:eastAsia="Arial" w:cs="Arial"/>
          <w:bCs/>
          <w:szCs w:val="20"/>
        </w:rPr>
        <w:t xml:space="preserve">Hepatic fibrosis; </w:t>
      </w:r>
      <w:r w:rsidRPr="00C64783">
        <w:rPr>
          <w:rFonts w:eastAsia="Arial" w:cs="Arial"/>
          <w:b/>
          <w:szCs w:val="20"/>
        </w:rPr>
        <w:t>OR</w:t>
      </w:r>
    </w:p>
    <w:p w14:paraId="5FD1F44B" w14:textId="77777777" w:rsidR="00537A3A" w:rsidRPr="00C64783" w:rsidRDefault="00537A3A" w:rsidP="00537A3A">
      <w:pPr>
        <w:pStyle w:val="ListParagraph"/>
        <w:numPr>
          <w:ilvl w:val="1"/>
          <w:numId w:val="16"/>
        </w:numPr>
        <w:contextualSpacing w:val="0"/>
        <w:rPr>
          <w:rFonts w:eastAsia="Arial" w:cs="Arial"/>
          <w:szCs w:val="20"/>
        </w:rPr>
      </w:pPr>
      <w:r w:rsidRPr="00C64783">
        <w:rPr>
          <w:rFonts w:eastAsia="Arial" w:cs="Arial"/>
          <w:szCs w:val="20"/>
        </w:rPr>
        <w:t>Documentation that obesity is due to a homozygous or presumed compound heterozygous variant in at least one of the following genes confirmed by genetic testing and interpreted as pathogenic or likely pathogenic:</w:t>
      </w:r>
    </w:p>
    <w:p w14:paraId="1495CA4C" w14:textId="77777777" w:rsidR="00537A3A" w:rsidRPr="00C64783" w:rsidRDefault="00537A3A" w:rsidP="00537A3A">
      <w:pPr>
        <w:pStyle w:val="ListParagraph"/>
        <w:numPr>
          <w:ilvl w:val="2"/>
          <w:numId w:val="16"/>
        </w:numPr>
        <w:contextualSpacing w:val="0"/>
        <w:rPr>
          <w:rFonts w:eastAsia="Arial" w:cs="Arial"/>
          <w:szCs w:val="20"/>
        </w:rPr>
      </w:pPr>
      <w:r w:rsidRPr="00C64783">
        <w:rPr>
          <w:rFonts w:eastAsia="Arial" w:cs="Arial"/>
          <w:szCs w:val="20"/>
        </w:rPr>
        <w:t>Proopiomelanocortin (</w:t>
      </w:r>
      <w:r w:rsidRPr="00C64783">
        <w:rPr>
          <w:rFonts w:eastAsia="Arial" w:cs="Arial"/>
          <w:i/>
          <w:iCs/>
          <w:szCs w:val="20"/>
        </w:rPr>
        <w:t>POMC</w:t>
      </w:r>
      <w:r w:rsidRPr="00C64783">
        <w:rPr>
          <w:rFonts w:eastAsia="Arial" w:cs="Arial"/>
          <w:szCs w:val="20"/>
        </w:rPr>
        <w:t>);</w:t>
      </w:r>
    </w:p>
    <w:p w14:paraId="517E9269" w14:textId="77777777" w:rsidR="00537A3A" w:rsidRPr="00C64783" w:rsidRDefault="00537A3A" w:rsidP="00537A3A">
      <w:pPr>
        <w:pStyle w:val="ListParagraph"/>
        <w:numPr>
          <w:ilvl w:val="2"/>
          <w:numId w:val="16"/>
        </w:numPr>
        <w:contextualSpacing w:val="0"/>
        <w:rPr>
          <w:rFonts w:eastAsia="Arial" w:cs="Arial"/>
          <w:szCs w:val="20"/>
        </w:rPr>
      </w:pPr>
      <w:r w:rsidRPr="00C64783">
        <w:rPr>
          <w:rFonts w:eastAsia="Arial" w:cs="Arial"/>
          <w:szCs w:val="20"/>
        </w:rPr>
        <w:t>Proprotein convertase subtilisin/kexin type 1 (</w:t>
      </w:r>
      <w:r w:rsidRPr="00C64783">
        <w:rPr>
          <w:rFonts w:eastAsia="Arial" w:cs="Arial"/>
          <w:i/>
          <w:iCs/>
          <w:szCs w:val="20"/>
        </w:rPr>
        <w:t>PCSK1</w:t>
      </w:r>
      <w:r w:rsidRPr="00C64783">
        <w:rPr>
          <w:rFonts w:eastAsia="Arial" w:cs="Arial"/>
          <w:szCs w:val="20"/>
        </w:rPr>
        <w:t xml:space="preserve">); </w:t>
      </w:r>
      <w:r w:rsidRPr="00C64783">
        <w:rPr>
          <w:rFonts w:eastAsia="Arial" w:cs="Arial"/>
          <w:b/>
          <w:bCs/>
          <w:szCs w:val="20"/>
        </w:rPr>
        <w:t>OR</w:t>
      </w:r>
    </w:p>
    <w:p w14:paraId="7FC3A6F3" w14:textId="77777777" w:rsidR="00537A3A" w:rsidRPr="00C64783" w:rsidRDefault="00537A3A" w:rsidP="00537A3A">
      <w:pPr>
        <w:pStyle w:val="ListParagraph"/>
        <w:numPr>
          <w:ilvl w:val="2"/>
          <w:numId w:val="16"/>
        </w:numPr>
        <w:contextualSpacing w:val="0"/>
        <w:rPr>
          <w:rFonts w:eastAsia="Arial" w:cs="Arial"/>
          <w:szCs w:val="20"/>
        </w:rPr>
      </w:pPr>
      <w:r w:rsidRPr="00C64783">
        <w:rPr>
          <w:rFonts w:eastAsia="Arial" w:cs="Arial"/>
          <w:szCs w:val="20"/>
        </w:rPr>
        <w:t>Leptin receptor (</w:t>
      </w:r>
      <w:r w:rsidRPr="00C64783">
        <w:rPr>
          <w:rFonts w:eastAsia="Arial" w:cs="Arial"/>
          <w:i/>
          <w:iCs/>
          <w:szCs w:val="20"/>
        </w:rPr>
        <w:t>LEPR</w:t>
      </w:r>
      <w:r w:rsidRPr="00C64783">
        <w:rPr>
          <w:rFonts w:eastAsia="Arial" w:cs="Arial"/>
          <w:szCs w:val="20"/>
        </w:rPr>
        <w:t>).</w:t>
      </w:r>
    </w:p>
    <w:p w14:paraId="0FE8AC32" w14:textId="77777777" w:rsidR="00537A3A" w:rsidRPr="00C64783" w:rsidRDefault="00537A3A" w:rsidP="00537A3A">
      <w:pPr>
        <w:pStyle w:val="ListParagraph"/>
        <w:numPr>
          <w:ilvl w:val="0"/>
          <w:numId w:val="16"/>
        </w:numPr>
        <w:contextualSpacing w:val="0"/>
        <w:rPr>
          <w:rFonts w:eastAsia="Arial" w:cs="Arial"/>
          <w:szCs w:val="20"/>
        </w:rPr>
      </w:pPr>
      <w:r w:rsidRPr="00C64783">
        <w:rPr>
          <w:rFonts w:eastAsia="Arial" w:cs="Arial"/>
          <w:szCs w:val="20"/>
        </w:rPr>
        <w:t>Initial approval period: 4 months.</w:t>
      </w:r>
    </w:p>
    <w:p w14:paraId="1B509DCA" w14:textId="77777777" w:rsidR="00635DDB" w:rsidRPr="00C64783" w:rsidRDefault="00635DDB" w:rsidP="00635DDB">
      <w:pPr>
        <w:rPr>
          <w:rFonts w:cs="Arial"/>
          <w:szCs w:val="20"/>
        </w:rPr>
      </w:pPr>
    </w:p>
    <w:p w14:paraId="7EC2017B" w14:textId="77777777" w:rsidR="00635DDB" w:rsidRPr="00C64783" w:rsidRDefault="00635DDB" w:rsidP="00635DDB">
      <w:pPr>
        <w:rPr>
          <w:b/>
          <w:bCs/>
        </w:rPr>
      </w:pPr>
      <w:r w:rsidRPr="00C64783">
        <w:rPr>
          <w:b/>
          <w:bCs/>
        </w:rPr>
        <w:t>Continuation of Therapy:</w:t>
      </w:r>
    </w:p>
    <w:p w14:paraId="2980E5B7" w14:textId="77777777" w:rsidR="00E06083" w:rsidRPr="00C64783" w:rsidRDefault="00E06083" w:rsidP="00E06083">
      <w:pPr>
        <w:pStyle w:val="ListParagraph"/>
        <w:numPr>
          <w:ilvl w:val="0"/>
          <w:numId w:val="18"/>
        </w:numPr>
        <w:contextualSpacing w:val="0"/>
        <w:rPr>
          <w:rFonts w:cs="Arial"/>
          <w:bCs/>
          <w:szCs w:val="20"/>
        </w:rPr>
      </w:pPr>
      <w:r w:rsidRPr="00C64783">
        <w:rPr>
          <w:rFonts w:cs="Arial"/>
          <w:bCs/>
          <w:szCs w:val="20"/>
        </w:rPr>
        <w:t>Must meet all of the following:</w:t>
      </w:r>
    </w:p>
    <w:p w14:paraId="50F9731F" w14:textId="77777777" w:rsidR="00E06083" w:rsidRPr="00C64783" w:rsidRDefault="00E06083" w:rsidP="00E06083">
      <w:pPr>
        <w:pStyle w:val="ListParagraph"/>
        <w:numPr>
          <w:ilvl w:val="1"/>
          <w:numId w:val="18"/>
        </w:numPr>
        <w:contextualSpacing w:val="0"/>
        <w:rPr>
          <w:rFonts w:cs="Arial"/>
          <w:bCs/>
          <w:szCs w:val="20"/>
        </w:rPr>
      </w:pPr>
      <w:r w:rsidRPr="00C64783">
        <w:rPr>
          <w:rFonts w:eastAsia="Arial" w:cs="Arial"/>
          <w:szCs w:val="20"/>
        </w:rPr>
        <w:t>Documentation of benefit of therapy, as evidenced by:</w:t>
      </w:r>
    </w:p>
    <w:p w14:paraId="0CC25DB5" w14:textId="77777777" w:rsidR="00E06083" w:rsidRPr="00C64783" w:rsidRDefault="00E06083" w:rsidP="00E06083">
      <w:pPr>
        <w:pStyle w:val="ListParagraph"/>
        <w:numPr>
          <w:ilvl w:val="2"/>
          <w:numId w:val="18"/>
        </w:numPr>
        <w:contextualSpacing w:val="0"/>
        <w:rPr>
          <w:rFonts w:cs="Arial"/>
          <w:bCs/>
          <w:szCs w:val="20"/>
        </w:rPr>
      </w:pPr>
      <w:r w:rsidRPr="00C64783">
        <w:rPr>
          <w:rFonts w:eastAsia="Arial" w:cs="Arial"/>
          <w:szCs w:val="20"/>
        </w:rPr>
        <w:t xml:space="preserve">At least a 5% reduction in baseline body weight; </w:t>
      </w:r>
      <w:r w:rsidRPr="00C64783">
        <w:rPr>
          <w:rFonts w:eastAsia="Arial" w:cs="Arial"/>
          <w:b/>
          <w:bCs/>
          <w:szCs w:val="20"/>
        </w:rPr>
        <w:t xml:space="preserve">OR </w:t>
      </w:r>
    </w:p>
    <w:p w14:paraId="17919C62" w14:textId="77777777" w:rsidR="00E06083" w:rsidRPr="00C64783" w:rsidRDefault="00E06083" w:rsidP="00E06083">
      <w:pPr>
        <w:pStyle w:val="NoSpacing"/>
        <w:numPr>
          <w:ilvl w:val="2"/>
          <w:numId w:val="18"/>
        </w:numPr>
        <w:rPr>
          <w:sz w:val="20"/>
          <w:szCs w:val="20"/>
        </w:rPr>
      </w:pPr>
      <w:r w:rsidRPr="00C64783">
        <w:rPr>
          <w:sz w:val="20"/>
          <w:szCs w:val="20"/>
        </w:rPr>
        <w:t xml:space="preserve">At least a 5% reduction in baseline BMI for participants with continued growth potential; </w:t>
      </w:r>
      <w:r w:rsidRPr="00C64783">
        <w:rPr>
          <w:b/>
          <w:bCs/>
          <w:sz w:val="20"/>
          <w:szCs w:val="20"/>
        </w:rPr>
        <w:t>AND</w:t>
      </w:r>
    </w:p>
    <w:p w14:paraId="482914D9" w14:textId="77777777" w:rsidR="00E06083" w:rsidRPr="00C64783" w:rsidRDefault="00E06083" w:rsidP="00E06083">
      <w:pPr>
        <w:pStyle w:val="NoSpacing"/>
        <w:numPr>
          <w:ilvl w:val="1"/>
          <w:numId w:val="18"/>
        </w:numPr>
        <w:ind w:left="720"/>
        <w:rPr>
          <w:sz w:val="20"/>
          <w:szCs w:val="20"/>
        </w:rPr>
      </w:pPr>
      <w:r w:rsidRPr="00C64783">
        <w:rPr>
          <w:sz w:val="20"/>
          <w:szCs w:val="20"/>
        </w:rPr>
        <w:t>Documentation of compliance to therapy (90 out of 120 days).</w:t>
      </w:r>
    </w:p>
    <w:p w14:paraId="6B1199FA" w14:textId="77777777" w:rsidR="00E06083" w:rsidRPr="00C64783" w:rsidRDefault="00E06083" w:rsidP="00E06083">
      <w:pPr>
        <w:pStyle w:val="NoSpacing"/>
        <w:numPr>
          <w:ilvl w:val="0"/>
          <w:numId w:val="18"/>
        </w:numPr>
        <w:rPr>
          <w:sz w:val="20"/>
          <w:szCs w:val="20"/>
        </w:rPr>
      </w:pPr>
      <w:r w:rsidRPr="00C64783">
        <w:rPr>
          <w:sz w:val="20"/>
          <w:szCs w:val="20"/>
        </w:rPr>
        <w:t>Continuation approval period: 4 months</w:t>
      </w:r>
    </w:p>
    <w:p w14:paraId="0B0C0D72" w14:textId="77777777" w:rsidR="005328B2" w:rsidRPr="00C64783" w:rsidRDefault="005328B2" w:rsidP="0064149A">
      <w:pPr>
        <w:rPr>
          <w:rFonts w:cs="Arial"/>
          <w:szCs w:val="20"/>
        </w:rPr>
      </w:pPr>
    </w:p>
    <w:p w14:paraId="6413C03A" w14:textId="77777777" w:rsidR="00AE77DB" w:rsidRPr="00C64783" w:rsidRDefault="00AE77DB" w:rsidP="005A2F1E">
      <w:pPr>
        <w:pStyle w:val="Heading1"/>
        <w:rPr>
          <w:lang w:val="en-US"/>
        </w:rPr>
      </w:pPr>
      <w:r w:rsidRPr="00C64783">
        <w:rPr>
          <w:lang w:val="en-US"/>
        </w:rPr>
        <w:t>Denial Criteria</w:t>
      </w:r>
    </w:p>
    <w:p w14:paraId="730C2B10" w14:textId="77777777" w:rsidR="00904D7A" w:rsidRPr="00C64783" w:rsidRDefault="00904D7A" w:rsidP="00516D12">
      <w:pPr>
        <w:pStyle w:val="ListParagraph"/>
      </w:pPr>
      <w:r w:rsidRPr="00C64783">
        <w:t>Therapy will deny with presence of one of the following:</w:t>
      </w:r>
    </w:p>
    <w:p w14:paraId="5E12F777" w14:textId="77777777" w:rsidR="00CB47DC" w:rsidRPr="00C64783" w:rsidRDefault="00CB47DC" w:rsidP="00CB47DC">
      <w:pPr>
        <w:pStyle w:val="ListParagraph"/>
        <w:numPr>
          <w:ilvl w:val="1"/>
          <w:numId w:val="6"/>
        </w:numPr>
        <w:rPr>
          <w:rFonts w:cs="Arial"/>
          <w:noProof/>
          <w:szCs w:val="20"/>
        </w:rPr>
      </w:pPr>
      <w:r w:rsidRPr="00C64783">
        <w:rPr>
          <w:rFonts w:cs="Arial"/>
          <w:noProof/>
          <w:szCs w:val="20"/>
        </w:rPr>
        <w:t>If any approval criteria are not met;</w:t>
      </w:r>
    </w:p>
    <w:p w14:paraId="18AC80A0" w14:textId="77777777" w:rsidR="00CB47DC" w:rsidRPr="00C64783" w:rsidRDefault="00CB47DC" w:rsidP="00CB47DC">
      <w:pPr>
        <w:pStyle w:val="ListParagraph"/>
        <w:numPr>
          <w:ilvl w:val="1"/>
          <w:numId w:val="6"/>
        </w:numPr>
        <w:rPr>
          <w:rFonts w:cs="Arial"/>
          <w:noProof/>
          <w:szCs w:val="20"/>
        </w:rPr>
      </w:pPr>
      <w:r w:rsidRPr="00C64783">
        <w:rPr>
          <w:rFonts w:cs="Arial"/>
          <w:noProof/>
          <w:szCs w:val="20"/>
        </w:rPr>
        <w:lastRenderedPageBreak/>
        <w:t>Documented history of moderate to severe renal impairment or end stage renal disease;</w:t>
      </w:r>
    </w:p>
    <w:p w14:paraId="2CCF3F49" w14:textId="77777777" w:rsidR="00CB47DC" w:rsidRPr="00C64783" w:rsidRDefault="00CB47DC" w:rsidP="00CB47DC">
      <w:pPr>
        <w:pStyle w:val="ListParagraph"/>
        <w:numPr>
          <w:ilvl w:val="1"/>
          <w:numId w:val="6"/>
        </w:numPr>
        <w:rPr>
          <w:rFonts w:eastAsia="Arial" w:cs="Arial"/>
          <w:szCs w:val="20"/>
        </w:rPr>
      </w:pPr>
      <w:r w:rsidRPr="00C64783">
        <w:rPr>
          <w:rFonts w:eastAsia="Arial" w:cs="Arial"/>
          <w:szCs w:val="20"/>
        </w:rPr>
        <w:t>Prior gastric bypass surgery resulting in &gt; 10% weight loss that was maintained;</w:t>
      </w:r>
    </w:p>
    <w:p w14:paraId="25BBA019" w14:textId="77777777" w:rsidR="00CB47DC" w:rsidRPr="00C64783" w:rsidRDefault="00CB47DC" w:rsidP="00CB47DC">
      <w:pPr>
        <w:pStyle w:val="ListParagraph"/>
        <w:numPr>
          <w:ilvl w:val="1"/>
          <w:numId w:val="6"/>
        </w:numPr>
        <w:tabs>
          <w:tab w:val="left" w:pos="5195"/>
        </w:tabs>
        <w:rPr>
          <w:rFonts w:cs="Arial"/>
          <w:noProof/>
          <w:szCs w:val="20"/>
        </w:rPr>
      </w:pPr>
      <w:r w:rsidRPr="00C64783">
        <w:rPr>
          <w:rFonts w:eastAsia="Arial" w:cs="Arial"/>
          <w:szCs w:val="20"/>
        </w:rPr>
        <w:t>Participant demonstrates non-compliance to therapy regimen;</w:t>
      </w:r>
    </w:p>
    <w:p w14:paraId="29F9AAFC" w14:textId="77777777" w:rsidR="00CB47DC" w:rsidRPr="00C64783" w:rsidRDefault="00CB47DC" w:rsidP="00CB47DC">
      <w:pPr>
        <w:pStyle w:val="ListParagraph"/>
        <w:numPr>
          <w:ilvl w:val="1"/>
          <w:numId w:val="6"/>
        </w:numPr>
        <w:tabs>
          <w:tab w:val="left" w:pos="5195"/>
        </w:tabs>
        <w:rPr>
          <w:rFonts w:cs="Arial"/>
          <w:bCs/>
          <w:noProof/>
          <w:szCs w:val="20"/>
        </w:rPr>
      </w:pPr>
      <w:r w:rsidRPr="00C64783">
        <w:rPr>
          <w:rFonts w:eastAsia="Arial" w:cs="Arial"/>
          <w:bCs/>
          <w:szCs w:val="20"/>
        </w:rPr>
        <w:t>Documented diagnosis of Alport syndrome;</w:t>
      </w:r>
    </w:p>
    <w:p w14:paraId="6A215F75" w14:textId="77777777" w:rsidR="00CB47DC" w:rsidRPr="00C64783" w:rsidRDefault="00CB47DC" w:rsidP="00CB47DC">
      <w:pPr>
        <w:pStyle w:val="ListParagraph"/>
        <w:numPr>
          <w:ilvl w:val="1"/>
          <w:numId w:val="6"/>
        </w:numPr>
        <w:tabs>
          <w:tab w:val="left" w:pos="5195"/>
        </w:tabs>
        <w:rPr>
          <w:rFonts w:cs="Arial"/>
          <w:noProof/>
          <w:szCs w:val="20"/>
        </w:rPr>
      </w:pPr>
      <w:r w:rsidRPr="00C64783">
        <w:rPr>
          <w:rFonts w:eastAsia="Arial" w:cs="Arial"/>
          <w:szCs w:val="20"/>
        </w:rPr>
        <w:t xml:space="preserve">Participant is currently pregnant; </w:t>
      </w:r>
      <w:r w:rsidRPr="00C64783">
        <w:rPr>
          <w:rFonts w:eastAsia="Arial" w:cs="Arial"/>
          <w:b/>
          <w:bCs/>
          <w:szCs w:val="20"/>
        </w:rPr>
        <w:t>OR</w:t>
      </w:r>
    </w:p>
    <w:p w14:paraId="1D580A83" w14:textId="77777777" w:rsidR="00CB47DC" w:rsidRPr="00C64783" w:rsidRDefault="00CB47DC" w:rsidP="00CB47DC">
      <w:pPr>
        <w:pStyle w:val="ListParagraph"/>
        <w:rPr>
          <w:noProof/>
        </w:rPr>
      </w:pPr>
      <w:r w:rsidRPr="00C64783">
        <w:rPr>
          <w:rFonts w:eastAsia="Arial"/>
        </w:rPr>
        <w:t xml:space="preserve">Additional denial criteria for obesity due to </w:t>
      </w:r>
      <w:r w:rsidRPr="00C64783">
        <w:rPr>
          <w:rFonts w:eastAsia="Arial"/>
          <w:i/>
        </w:rPr>
        <w:t>POMC</w:t>
      </w:r>
      <w:r w:rsidRPr="00C64783">
        <w:rPr>
          <w:rFonts w:eastAsia="Arial"/>
        </w:rPr>
        <w:t xml:space="preserve">, </w:t>
      </w:r>
      <w:r w:rsidRPr="00C64783">
        <w:rPr>
          <w:rFonts w:eastAsia="Arial"/>
          <w:i/>
        </w:rPr>
        <w:t>PCSK1</w:t>
      </w:r>
      <w:r w:rsidRPr="00C64783">
        <w:rPr>
          <w:rFonts w:eastAsia="Arial"/>
        </w:rPr>
        <w:t xml:space="preserve">, or </w:t>
      </w:r>
      <w:r w:rsidRPr="00C64783">
        <w:rPr>
          <w:rFonts w:eastAsia="Arial"/>
          <w:i/>
        </w:rPr>
        <w:t>LEPR</w:t>
      </w:r>
      <w:r w:rsidRPr="00C64783">
        <w:rPr>
          <w:rFonts w:eastAsia="Arial"/>
        </w:rPr>
        <w:t xml:space="preserve"> deficiency:</w:t>
      </w:r>
    </w:p>
    <w:p w14:paraId="5597F27E" w14:textId="77777777" w:rsidR="00CB47DC" w:rsidRPr="00C64783" w:rsidRDefault="00CB47DC" w:rsidP="00CB47DC">
      <w:pPr>
        <w:pStyle w:val="ListParagraph"/>
        <w:numPr>
          <w:ilvl w:val="1"/>
          <w:numId w:val="6"/>
        </w:numPr>
        <w:tabs>
          <w:tab w:val="left" w:pos="5195"/>
        </w:tabs>
        <w:rPr>
          <w:rFonts w:cs="Arial"/>
          <w:bCs/>
          <w:noProof/>
          <w:szCs w:val="20"/>
        </w:rPr>
      </w:pPr>
      <w:r w:rsidRPr="00C64783">
        <w:rPr>
          <w:rFonts w:eastAsia="Arial" w:cs="Arial"/>
          <w:bCs/>
          <w:szCs w:val="20"/>
        </w:rPr>
        <w:t xml:space="preserve">Documentation of genetic testing demonstrating that the variants in </w:t>
      </w:r>
      <w:r w:rsidRPr="00C64783">
        <w:rPr>
          <w:rFonts w:eastAsia="Arial" w:cs="Arial"/>
          <w:bCs/>
          <w:i/>
          <w:iCs/>
          <w:szCs w:val="20"/>
        </w:rPr>
        <w:t>POMC</w:t>
      </w:r>
      <w:r w:rsidRPr="00C64783">
        <w:rPr>
          <w:rFonts w:eastAsia="Arial" w:cs="Arial"/>
          <w:bCs/>
          <w:szCs w:val="20"/>
        </w:rPr>
        <w:t xml:space="preserve">, </w:t>
      </w:r>
      <w:r w:rsidRPr="00C64783">
        <w:rPr>
          <w:rFonts w:eastAsia="Arial" w:cs="Arial"/>
          <w:bCs/>
          <w:i/>
          <w:iCs/>
          <w:szCs w:val="20"/>
        </w:rPr>
        <w:t>PCSK1</w:t>
      </w:r>
      <w:r w:rsidRPr="00C64783">
        <w:rPr>
          <w:rFonts w:eastAsia="Arial" w:cs="Arial"/>
          <w:bCs/>
          <w:szCs w:val="20"/>
        </w:rPr>
        <w:t xml:space="preserve">, or </w:t>
      </w:r>
      <w:r w:rsidRPr="00C64783">
        <w:rPr>
          <w:rFonts w:eastAsia="Arial" w:cs="Arial"/>
          <w:bCs/>
          <w:i/>
          <w:iCs/>
          <w:szCs w:val="20"/>
        </w:rPr>
        <w:t>LEPR</w:t>
      </w:r>
      <w:r w:rsidRPr="00C64783">
        <w:rPr>
          <w:rFonts w:eastAsia="Arial" w:cs="Arial"/>
          <w:bCs/>
          <w:szCs w:val="20"/>
        </w:rPr>
        <w:t xml:space="preserve"> genes are interpreted as benign or likely benign.</w:t>
      </w:r>
    </w:p>
    <w:p w14:paraId="4D21EAF1" w14:textId="77777777" w:rsidR="001E4CBA" w:rsidRPr="00C64783" w:rsidRDefault="001E4CBA" w:rsidP="001C73B1">
      <w:pPr>
        <w:pStyle w:val="ListParagraph"/>
        <w:numPr>
          <w:ilvl w:val="0"/>
          <w:numId w:val="0"/>
        </w:numPr>
        <w:ind w:left="360"/>
        <w:rPr>
          <w:rFonts w:cs="Arial"/>
          <w:szCs w:val="22"/>
        </w:rPr>
      </w:pPr>
    </w:p>
    <w:p w14:paraId="0BD95161" w14:textId="77777777" w:rsidR="005F6104" w:rsidRPr="00C64783" w:rsidRDefault="005F6104" w:rsidP="005F6104">
      <w:pPr>
        <w:pStyle w:val="Heading1"/>
        <w:rPr>
          <w:lang w:val="en-US"/>
        </w:rPr>
      </w:pPr>
      <w:bookmarkStart w:id="1" w:name="_Hlk34120952"/>
      <w:r w:rsidRPr="00C64783">
        <w:rPr>
          <w:lang w:val="en-US"/>
        </w:rPr>
        <w:t>Disposition of Edit</w:t>
      </w:r>
    </w:p>
    <w:p w14:paraId="2B4EAF92" w14:textId="77777777" w:rsidR="005F6104" w:rsidRPr="00C64783" w:rsidRDefault="005F6104" w:rsidP="005F6104">
      <w:r w:rsidRPr="00C64783">
        <w:rPr>
          <w:b/>
          <w:bCs/>
        </w:rPr>
        <w:t>Denial:</w:t>
      </w:r>
      <w:r w:rsidRPr="00C64783">
        <w:t xml:space="preserve"> Exception code “0682” (Clinical Edit)</w:t>
      </w:r>
    </w:p>
    <w:p w14:paraId="04B2330F" w14:textId="77777777" w:rsidR="005F6104" w:rsidRPr="00C64783" w:rsidRDefault="005F6104" w:rsidP="005F6104">
      <w:r w:rsidRPr="00C64783">
        <w:rPr>
          <w:b/>
          <w:bCs/>
        </w:rPr>
        <w:t>Rule Type:</w:t>
      </w:r>
      <w:r w:rsidRPr="00C64783">
        <w:t xml:space="preserve"> CE</w:t>
      </w:r>
    </w:p>
    <w:p w14:paraId="5D43D3D3" w14:textId="4A106C80" w:rsidR="00343D6B" w:rsidRPr="00C64783" w:rsidRDefault="00343D6B" w:rsidP="00696E3A">
      <w:pPr>
        <w:rPr>
          <w:rFonts w:cs="Arial"/>
          <w:szCs w:val="20"/>
        </w:rPr>
      </w:pPr>
      <w:r w:rsidRPr="00C64783">
        <w:rPr>
          <w:b/>
          <w:bCs/>
        </w:rPr>
        <w:t>Default Approval Period:</w:t>
      </w:r>
      <w:r w:rsidR="00973BD6" w:rsidRPr="00C64783">
        <w:t xml:space="preserve"> </w:t>
      </w:r>
      <w:r w:rsidR="00EF2AC8" w:rsidRPr="00C64783">
        <w:rPr>
          <w:rFonts w:cs="Arial"/>
          <w:szCs w:val="20"/>
        </w:rPr>
        <w:t>4 months</w:t>
      </w:r>
    </w:p>
    <w:p w14:paraId="6649BF8C" w14:textId="77777777" w:rsidR="00343D6B" w:rsidRPr="00C64783" w:rsidRDefault="00343D6B" w:rsidP="00343D6B">
      <w:pPr>
        <w:rPr>
          <w:rFonts w:cs="Arial"/>
          <w:szCs w:val="20"/>
        </w:rPr>
      </w:pPr>
    </w:p>
    <w:bookmarkEnd w:id="1"/>
    <w:p w14:paraId="6413C0CF" w14:textId="530C1EC9" w:rsidR="00AE77DB" w:rsidRPr="00C64783" w:rsidRDefault="00AE77DB" w:rsidP="00343D6B">
      <w:pPr>
        <w:pStyle w:val="Heading1"/>
        <w:rPr>
          <w:lang w:val="en-US"/>
        </w:rPr>
      </w:pPr>
      <w:r w:rsidRPr="00C64783">
        <w:rPr>
          <w:lang w:val="en-US"/>
        </w:rPr>
        <w:t>References</w:t>
      </w:r>
    </w:p>
    <w:p w14:paraId="38CF3E51" w14:textId="3D95E807" w:rsidR="0074034C" w:rsidRPr="00C64783" w:rsidRDefault="0074034C" w:rsidP="0074034C">
      <w:pPr>
        <w:pStyle w:val="ListParagraph"/>
      </w:pPr>
      <w:r w:rsidRPr="00C64783">
        <w:t xml:space="preserve">IMCIVREE (setmelanotide) [package insert]. Boston, MA: Rhythm Pharmaceuticals, Inc.; </w:t>
      </w:r>
      <w:r w:rsidR="00864789" w:rsidRPr="00C64783">
        <w:t>March</w:t>
      </w:r>
      <w:r w:rsidRPr="00C64783">
        <w:t xml:space="preserve"> 202</w:t>
      </w:r>
      <w:r w:rsidR="00864789" w:rsidRPr="00C64783">
        <w:t>5</w:t>
      </w:r>
      <w:r w:rsidRPr="00C64783">
        <w:t>.</w:t>
      </w:r>
    </w:p>
    <w:p w14:paraId="019685F7" w14:textId="77777777" w:rsidR="0074034C" w:rsidRPr="00C64783" w:rsidRDefault="0074034C" w:rsidP="0074034C">
      <w:pPr>
        <w:pStyle w:val="ListParagraph"/>
      </w:pPr>
      <w:r w:rsidRPr="001A61EF">
        <w:rPr>
          <w:lang w:val="es-US"/>
        </w:rPr>
        <w:t xml:space="preserve">Clément K, van den </w:t>
      </w:r>
      <w:proofErr w:type="spellStart"/>
      <w:r w:rsidRPr="001A61EF">
        <w:rPr>
          <w:lang w:val="es-US"/>
        </w:rPr>
        <w:t>Akker</w:t>
      </w:r>
      <w:proofErr w:type="spellEnd"/>
      <w:r w:rsidRPr="001A61EF">
        <w:rPr>
          <w:lang w:val="es-US"/>
        </w:rPr>
        <w:t xml:space="preserve"> E, Argente J, et al. </w:t>
      </w:r>
      <w:r w:rsidRPr="00C64783">
        <w:t xml:space="preserve">Efficacy and safety of setmelanotide, an MC4R agonist, in individuals with severe obesity due to LEPR or POMC deficiency: </w:t>
      </w:r>
      <w:proofErr w:type="gramStart"/>
      <w:r w:rsidRPr="00C64783">
        <w:t>single</w:t>
      </w:r>
      <w:proofErr w:type="gramEnd"/>
      <w:r w:rsidRPr="00C64783">
        <w:t>-arm, open-label, multicentre, phase 3 trials. Lancet Diabetes Endocrinol. 2020;8(12):960-970. doi:10.1016/S2213-8587(20)30364-8.</w:t>
      </w:r>
    </w:p>
    <w:p w14:paraId="069E14B9" w14:textId="77777777" w:rsidR="0074034C" w:rsidRPr="00C64783" w:rsidRDefault="0074034C" w:rsidP="0074034C">
      <w:pPr>
        <w:pStyle w:val="ListParagraph"/>
      </w:pPr>
      <w:r w:rsidRPr="00C64783">
        <w:t>Richards S, Aziz N, Bale S, et al; ACMG Laboratory Quality Assurance Committee. Standards and guidelines for the interpretation of sequence variants: a joint consensus recommendation of the American College of Medical Genetics and Genomics and the Association for Molecular Pathology. Genet Med. 2015;17(5):405-424. doi:10.1038/gim.2015.30.</w:t>
      </w:r>
    </w:p>
    <w:p w14:paraId="798DB554" w14:textId="77777777" w:rsidR="0074034C" w:rsidRPr="00C64783" w:rsidRDefault="0074034C" w:rsidP="0074034C">
      <w:pPr>
        <w:pStyle w:val="ListParagraph"/>
      </w:pPr>
      <w:r w:rsidRPr="00C64783">
        <w:t>IPD Analytics. New Drug Review: Imcivree (setmelanotide). December 2020.</w:t>
      </w:r>
    </w:p>
    <w:p w14:paraId="3FA1E7DB" w14:textId="217BB4BB" w:rsidR="00777CA4" w:rsidRPr="00C64783" w:rsidRDefault="0074034C" w:rsidP="0074034C">
      <w:pPr>
        <w:pStyle w:val="ListParagraph"/>
      </w:pPr>
      <w:r w:rsidRPr="00C64783">
        <w:t>Beales P, Elcioglu N, Woolf A, et al. New criteria for improved diagnosis of Bardet-Biedl syndrome: results of a population survey. J Med Genet. 1999 Jun;36(6):437-46. PMID: 10874630; PMCID: PMC1734378.</w:t>
      </w:r>
    </w:p>
    <w:sectPr w:rsidR="00777CA4" w:rsidRPr="00C64783"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F49A" w14:textId="77777777" w:rsidR="00786B57" w:rsidRPr="00C02553" w:rsidRDefault="00786B57" w:rsidP="00AE77DB">
      <w:r w:rsidRPr="00C02553">
        <w:separator/>
      </w:r>
    </w:p>
  </w:endnote>
  <w:endnote w:type="continuationSeparator" w:id="0">
    <w:p w14:paraId="6988AD18" w14:textId="77777777" w:rsidR="00786B57" w:rsidRPr="00C02553" w:rsidRDefault="00786B57" w:rsidP="00AE77DB">
      <w:r w:rsidRPr="00C02553">
        <w:continuationSeparator/>
      </w:r>
    </w:p>
  </w:endnote>
  <w:endnote w:type="continuationNotice" w:id="1">
    <w:p w14:paraId="3D7FC007" w14:textId="77777777" w:rsidR="00786B57" w:rsidRPr="00C02553" w:rsidRDefault="00786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7BED" w14:textId="77777777" w:rsidR="00786B57" w:rsidRPr="00C02553" w:rsidRDefault="00786B57" w:rsidP="00AE77DB">
      <w:r w:rsidRPr="00C02553">
        <w:separator/>
      </w:r>
    </w:p>
  </w:footnote>
  <w:footnote w:type="continuationSeparator" w:id="0">
    <w:p w14:paraId="06A990B0" w14:textId="77777777" w:rsidR="00786B57" w:rsidRPr="00C02553" w:rsidRDefault="00786B57" w:rsidP="00AE77DB">
      <w:r w:rsidRPr="00C02553">
        <w:continuationSeparator/>
      </w:r>
    </w:p>
  </w:footnote>
  <w:footnote w:type="continuationNotice" w:id="1">
    <w:p w14:paraId="20E5DBEC" w14:textId="77777777" w:rsidR="00786B57" w:rsidRPr="00C02553" w:rsidRDefault="00786B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982CEA">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982CEA">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982CEA">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03797A"/>
    <w:multiLevelType w:val="hybridMultilevel"/>
    <w:tmpl w:val="3C1A0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7C62AA"/>
    <w:multiLevelType w:val="hybridMultilevel"/>
    <w:tmpl w:val="C82E1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FD4D10"/>
    <w:multiLevelType w:val="hybridMultilevel"/>
    <w:tmpl w:val="5E2E96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1"/>
  </w:num>
  <w:num w:numId="15" w16cid:durableId="1911186802">
    <w:abstractNumId w:val="6"/>
  </w:num>
  <w:num w:numId="16" w16cid:durableId="228616839">
    <w:abstractNumId w:val="15"/>
  </w:num>
  <w:num w:numId="17" w16cid:durableId="664941481">
    <w:abstractNumId w:val="12"/>
  </w:num>
  <w:num w:numId="18" w16cid:durableId="181825063">
    <w:abstractNumId w:val="16"/>
  </w:num>
  <w:num w:numId="19" w16cid:durableId="138047039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readOnly" w:formatting="1" w:enforcement="1" w:cryptProviderType="rsaAES" w:cryptAlgorithmClass="hash" w:cryptAlgorithmType="typeAny" w:cryptAlgorithmSid="14" w:cryptSpinCount="100000" w:hash="eTlM8By0MXSBYxAKTS53Yq4gEnE0Drzcai/BvIMPFCN/TEVbNKrwAIvO5md5yqSlJdJpWC3CeNYqVss2HNHrpA==" w:salt="jLQCJRwNNVZvLigJVcApd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474AA"/>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808B8"/>
    <w:rsid w:val="001A50CB"/>
    <w:rsid w:val="001A61EF"/>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8D8"/>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0F91"/>
    <w:rsid w:val="0032215C"/>
    <w:rsid w:val="0032616B"/>
    <w:rsid w:val="00326687"/>
    <w:rsid w:val="003275F9"/>
    <w:rsid w:val="00330DD4"/>
    <w:rsid w:val="003345D2"/>
    <w:rsid w:val="003355AC"/>
    <w:rsid w:val="00343D6B"/>
    <w:rsid w:val="00345516"/>
    <w:rsid w:val="00346090"/>
    <w:rsid w:val="00347FB5"/>
    <w:rsid w:val="00355515"/>
    <w:rsid w:val="003608B5"/>
    <w:rsid w:val="003613AF"/>
    <w:rsid w:val="003878C1"/>
    <w:rsid w:val="00396C0B"/>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60B5D"/>
    <w:rsid w:val="0046618B"/>
    <w:rsid w:val="0048608C"/>
    <w:rsid w:val="00496E57"/>
    <w:rsid w:val="004B3E10"/>
    <w:rsid w:val="004B64F1"/>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37A3A"/>
    <w:rsid w:val="00540977"/>
    <w:rsid w:val="00551668"/>
    <w:rsid w:val="005572D5"/>
    <w:rsid w:val="00566BE4"/>
    <w:rsid w:val="00570D21"/>
    <w:rsid w:val="0057190C"/>
    <w:rsid w:val="00576113"/>
    <w:rsid w:val="0058372B"/>
    <w:rsid w:val="00590652"/>
    <w:rsid w:val="0059235F"/>
    <w:rsid w:val="00596936"/>
    <w:rsid w:val="005A2F1E"/>
    <w:rsid w:val="005A4232"/>
    <w:rsid w:val="005C3616"/>
    <w:rsid w:val="005D36B2"/>
    <w:rsid w:val="005D52E7"/>
    <w:rsid w:val="005D78B5"/>
    <w:rsid w:val="005E3572"/>
    <w:rsid w:val="005E45E4"/>
    <w:rsid w:val="005F0A81"/>
    <w:rsid w:val="005F0FCF"/>
    <w:rsid w:val="005F296A"/>
    <w:rsid w:val="005F6104"/>
    <w:rsid w:val="0060042F"/>
    <w:rsid w:val="006008BC"/>
    <w:rsid w:val="00602CFD"/>
    <w:rsid w:val="00606B55"/>
    <w:rsid w:val="00612A7B"/>
    <w:rsid w:val="00616E5E"/>
    <w:rsid w:val="006173A4"/>
    <w:rsid w:val="006205AD"/>
    <w:rsid w:val="00625C3A"/>
    <w:rsid w:val="00635DDB"/>
    <w:rsid w:val="0064149A"/>
    <w:rsid w:val="00645E30"/>
    <w:rsid w:val="00646DFE"/>
    <w:rsid w:val="00650530"/>
    <w:rsid w:val="00650C96"/>
    <w:rsid w:val="00653788"/>
    <w:rsid w:val="0065477F"/>
    <w:rsid w:val="00656896"/>
    <w:rsid w:val="00661656"/>
    <w:rsid w:val="0066374F"/>
    <w:rsid w:val="006726FD"/>
    <w:rsid w:val="00677C65"/>
    <w:rsid w:val="00693152"/>
    <w:rsid w:val="00694FAE"/>
    <w:rsid w:val="00696E3A"/>
    <w:rsid w:val="006A0834"/>
    <w:rsid w:val="006A4BBD"/>
    <w:rsid w:val="006A52F1"/>
    <w:rsid w:val="006B561D"/>
    <w:rsid w:val="006B6D5D"/>
    <w:rsid w:val="006D2330"/>
    <w:rsid w:val="006E0517"/>
    <w:rsid w:val="006E0F8B"/>
    <w:rsid w:val="006E12F7"/>
    <w:rsid w:val="006E29D7"/>
    <w:rsid w:val="007068A4"/>
    <w:rsid w:val="00706D67"/>
    <w:rsid w:val="00713052"/>
    <w:rsid w:val="00721367"/>
    <w:rsid w:val="007231FA"/>
    <w:rsid w:val="00732C67"/>
    <w:rsid w:val="00734418"/>
    <w:rsid w:val="0074034C"/>
    <w:rsid w:val="00757826"/>
    <w:rsid w:val="00762B13"/>
    <w:rsid w:val="007632B7"/>
    <w:rsid w:val="0076382F"/>
    <w:rsid w:val="00765768"/>
    <w:rsid w:val="00765D10"/>
    <w:rsid w:val="00766AC8"/>
    <w:rsid w:val="00767486"/>
    <w:rsid w:val="0077070E"/>
    <w:rsid w:val="0077296A"/>
    <w:rsid w:val="00777CA4"/>
    <w:rsid w:val="00786B57"/>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593C"/>
    <w:rsid w:val="00811A70"/>
    <w:rsid w:val="0081406E"/>
    <w:rsid w:val="00832211"/>
    <w:rsid w:val="008325F4"/>
    <w:rsid w:val="00832AC8"/>
    <w:rsid w:val="00846FA4"/>
    <w:rsid w:val="008524BA"/>
    <w:rsid w:val="00852B74"/>
    <w:rsid w:val="00856928"/>
    <w:rsid w:val="00864789"/>
    <w:rsid w:val="00865538"/>
    <w:rsid w:val="00870875"/>
    <w:rsid w:val="0088105B"/>
    <w:rsid w:val="0088225C"/>
    <w:rsid w:val="00884026"/>
    <w:rsid w:val="00884C78"/>
    <w:rsid w:val="008859E1"/>
    <w:rsid w:val="008931D3"/>
    <w:rsid w:val="00896264"/>
    <w:rsid w:val="008A2549"/>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51097"/>
    <w:rsid w:val="00952DC4"/>
    <w:rsid w:val="00953C1E"/>
    <w:rsid w:val="009575DF"/>
    <w:rsid w:val="0096210F"/>
    <w:rsid w:val="00962633"/>
    <w:rsid w:val="00963187"/>
    <w:rsid w:val="00963ACF"/>
    <w:rsid w:val="00963D1C"/>
    <w:rsid w:val="00964284"/>
    <w:rsid w:val="0097028A"/>
    <w:rsid w:val="00973BD6"/>
    <w:rsid w:val="00982CEA"/>
    <w:rsid w:val="00984549"/>
    <w:rsid w:val="00985D28"/>
    <w:rsid w:val="00991BF0"/>
    <w:rsid w:val="00992EA3"/>
    <w:rsid w:val="009A0FB1"/>
    <w:rsid w:val="009A1FAC"/>
    <w:rsid w:val="009B001A"/>
    <w:rsid w:val="009B1A62"/>
    <w:rsid w:val="009B2FAD"/>
    <w:rsid w:val="009C3CC7"/>
    <w:rsid w:val="009D2057"/>
    <w:rsid w:val="009D3D6C"/>
    <w:rsid w:val="009D5551"/>
    <w:rsid w:val="009D62DB"/>
    <w:rsid w:val="009E324F"/>
    <w:rsid w:val="009E3B42"/>
    <w:rsid w:val="009F518A"/>
    <w:rsid w:val="00A02AF6"/>
    <w:rsid w:val="00A05B60"/>
    <w:rsid w:val="00A05E2F"/>
    <w:rsid w:val="00A13266"/>
    <w:rsid w:val="00A14FA6"/>
    <w:rsid w:val="00A15D64"/>
    <w:rsid w:val="00A20575"/>
    <w:rsid w:val="00A32452"/>
    <w:rsid w:val="00A325CC"/>
    <w:rsid w:val="00A32BBF"/>
    <w:rsid w:val="00A37444"/>
    <w:rsid w:val="00A4281A"/>
    <w:rsid w:val="00A459CF"/>
    <w:rsid w:val="00A461CF"/>
    <w:rsid w:val="00A5014D"/>
    <w:rsid w:val="00A53E96"/>
    <w:rsid w:val="00A56F18"/>
    <w:rsid w:val="00A628F8"/>
    <w:rsid w:val="00A62BAA"/>
    <w:rsid w:val="00A66172"/>
    <w:rsid w:val="00A744C3"/>
    <w:rsid w:val="00A97C30"/>
    <w:rsid w:val="00AA70AB"/>
    <w:rsid w:val="00AB0B9F"/>
    <w:rsid w:val="00AB1713"/>
    <w:rsid w:val="00AB63BE"/>
    <w:rsid w:val="00AC1EBC"/>
    <w:rsid w:val="00AC2599"/>
    <w:rsid w:val="00AC2DE9"/>
    <w:rsid w:val="00AC3CD9"/>
    <w:rsid w:val="00AD2C5F"/>
    <w:rsid w:val="00AE1481"/>
    <w:rsid w:val="00AE27F9"/>
    <w:rsid w:val="00AE77DB"/>
    <w:rsid w:val="00AF6EDC"/>
    <w:rsid w:val="00AF7453"/>
    <w:rsid w:val="00B00EDC"/>
    <w:rsid w:val="00B00FFF"/>
    <w:rsid w:val="00B06084"/>
    <w:rsid w:val="00B14D3D"/>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1482"/>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4783"/>
    <w:rsid w:val="00C654CA"/>
    <w:rsid w:val="00C763BD"/>
    <w:rsid w:val="00C779A8"/>
    <w:rsid w:val="00C82E19"/>
    <w:rsid w:val="00C96873"/>
    <w:rsid w:val="00CA1735"/>
    <w:rsid w:val="00CA207E"/>
    <w:rsid w:val="00CA3822"/>
    <w:rsid w:val="00CA3C4B"/>
    <w:rsid w:val="00CA7252"/>
    <w:rsid w:val="00CB2C5A"/>
    <w:rsid w:val="00CB47DC"/>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55023"/>
    <w:rsid w:val="00D61118"/>
    <w:rsid w:val="00D614F1"/>
    <w:rsid w:val="00D70D50"/>
    <w:rsid w:val="00D71917"/>
    <w:rsid w:val="00D85D2B"/>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1F59"/>
    <w:rsid w:val="00DF3146"/>
    <w:rsid w:val="00DF57C3"/>
    <w:rsid w:val="00E008D9"/>
    <w:rsid w:val="00E02FE0"/>
    <w:rsid w:val="00E06083"/>
    <w:rsid w:val="00E07ABE"/>
    <w:rsid w:val="00E11A3F"/>
    <w:rsid w:val="00E1386E"/>
    <w:rsid w:val="00E2369B"/>
    <w:rsid w:val="00E23EC0"/>
    <w:rsid w:val="00E31165"/>
    <w:rsid w:val="00E354AA"/>
    <w:rsid w:val="00E37A44"/>
    <w:rsid w:val="00E43D54"/>
    <w:rsid w:val="00E442FB"/>
    <w:rsid w:val="00E529DB"/>
    <w:rsid w:val="00E53A5E"/>
    <w:rsid w:val="00E62B66"/>
    <w:rsid w:val="00E6466A"/>
    <w:rsid w:val="00E72221"/>
    <w:rsid w:val="00E81B96"/>
    <w:rsid w:val="00E83428"/>
    <w:rsid w:val="00E84C58"/>
    <w:rsid w:val="00E873A5"/>
    <w:rsid w:val="00E90D11"/>
    <w:rsid w:val="00E915E5"/>
    <w:rsid w:val="00EB0367"/>
    <w:rsid w:val="00EB4FB9"/>
    <w:rsid w:val="00EB5BC8"/>
    <w:rsid w:val="00EC2738"/>
    <w:rsid w:val="00ED0709"/>
    <w:rsid w:val="00ED760F"/>
    <w:rsid w:val="00ED7B42"/>
    <w:rsid w:val="00EE3EA5"/>
    <w:rsid w:val="00EE613F"/>
    <w:rsid w:val="00EE6BD1"/>
    <w:rsid w:val="00EF0262"/>
    <w:rsid w:val="00EF0828"/>
    <w:rsid w:val="00EF2AC8"/>
    <w:rsid w:val="00EF44EF"/>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74034C"/>
    <w:rPr>
      <w:sz w:val="16"/>
      <w:szCs w:val="16"/>
    </w:rPr>
  </w:style>
  <w:style w:type="paragraph" w:styleId="CommentSubject">
    <w:name w:val="annotation subject"/>
    <w:basedOn w:val="CommentText"/>
    <w:next w:val="CommentText"/>
    <w:link w:val="CommentSubjectChar"/>
    <w:uiPriority w:val="99"/>
    <w:semiHidden/>
    <w:unhideWhenUsed/>
    <w:rsid w:val="0074034C"/>
    <w:rPr>
      <w:b/>
      <w:bCs/>
    </w:rPr>
  </w:style>
  <w:style w:type="character" w:customStyle="1" w:styleId="CommentTextChar">
    <w:name w:val="Comment Text Char"/>
    <w:basedOn w:val="DefaultParagraphFont"/>
    <w:link w:val="CommentText"/>
    <w:semiHidden/>
    <w:rsid w:val="0074034C"/>
    <w:rPr>
      <w:rFonts w:ascii="Arial" w:hAnsi="Arial"/>
    </w:rPr>
  </w:style>
  <w:style w:type="character" w:customStyle="1" w:styleId="CommentSubjectChar">
    <w:name w:val="Comment Subject Char"/>
    <w:basedOn w:val="CommentTextChar"/>
    <w:link w:val="CommentSubject"/>
    <w:uiPriority w:val="99"/>
    <w:semiHidden/>
    <w:rsid w:val="0074034C"/>
    <w:rPr>
      <w:rFonts w:ascii="Arial" w:hAnsi="Arial"/>
      <w:b/>
      <w:bCs/>
    </w:rPr>
  </w:style>
  <w:style w:type="paragraph" w:styleId="Revision">
    <w:name w:val="Revision"/>
    <w:hidden/>
    <w:uiPriority w:val="99"/>
    <w:semiHidden/>
    <w:rsid w:val="000474A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87E35D9D-5541-406A-B04D-9A06C91BD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openxmlformats.org/package/2006/metadata/core-properties"/>
    <ds:schemaRef ds:uri="http://schemas.microsoft.com/office/infopath/2007/PartnerControls"/>
    <ds:schemaRef ds:uri="http://purl.org/dc/dcmitype/"/>
    <ds:schemaRef ds:uri="f5eefb00-5952-4f7e-8cf8-96f81cfadd01"/>
    <ds:schemaRef ds:uri="http://purl.org/dc/elements/1.1/"/>
    <ds:schemaRef ds:uri="http://schemas.microsoft.com/office/2006/documentManagement/types"/>
    <ds:schemaRef ds:uri="http://schemas.microsoft.com/sharepoint/v3"/>
    <ds:schemaRef ds:uri="http://purl.org/dc/terms/"/>
    <ds:schemaRef ds:uri="aba01ddc-ae9a-4c9e-819c-7140b4239cde"/>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877</Words>
  <Characters>5278</Characters>
  <Application>Microsoft Office Word</Application>
  <DocSecurity>10</DocSecurity>
  <Lines>43</Lines>
  <Paragraphs>12</Paragraphs>
  <ScaleCrop>false</ScaleCrop>
  <HeadingPairs>
    <vt:vector size="2" baseType="variant">
      <vt:variant>
        <vt:lpstr>Title</vt:lpstr>
      </vt:variant>
      <vt:variant>
        <vt:i4>1</vt:i4>
      </vt:variant>
    </vt:vector>
  </HeadingPairs>
  <TitlesOfParts>
    <vt:vector size="1" baseType="lpstr">
      <vt:lpstr>Imcivree CE</vt:lpstr>
    </vt:vector>
  </TitlesOfParts>
  <Company>DSS</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Imcivree CE</dc:title>
  <dc:subject/>
  <dc:creator>DMS</dc:creator>
  <cp:keywords/>
  <cp:lastModifiedBy>Heriford, Katherine</cp:lastModifiedBy>
  <cp:revision>45</cp:revision>
  <cp:lastPrinted>2018-10-31T18:17:00Z</cp:lastPrinted>
  <dcterms:created xsi:type="dcterms:W3CDTF">2025-11-19T15:39:00Z</dcterms:created>
  <dcterms:modified xsi:type="dcterms:W3CDTF">2026-04-02T22:22:00Z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