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31AE739E" w:rsidR="004C5767" w:rsidRPr="008859E1" w:rsidRDefault="004C5767" w:rsidP="00D27533">
      <w:pPr>
        <w:pStyle w:val="tbody"/>
        <w:rPr>
          <w:b w:val="0"/>
          <w:bCs/>
        </w:rPr>
      </w:pPr>
      <w:r w:rsidRPr="00C02553">
        <w:t>Drug/Drug Class:</w:t>
      </w:r>
      <w:r w:rsidR="003B4820" w:rsidRPr="00573856">
        <w:rPr>
          <w:b w:val="0"/>
          <w:bCs/>
        </w:rPr>
        <w:t xml:space="preserve"> </w:t>
      </w:r>
      <w:r w:rsidR="00B16676" w:rsidRPr="00B16676">
        <w:rPr>
          <w:b w:val="0"/>
          <w:bCs/>
        </w:rPr>
        <w:t>Inflammatory Bowel Disease Agents, Oral PDL Edit</w:t>
      </w:r>
    </w:p>
    <w:p w14:paraId="7AD7FFCE" w14:textId="2FD4D071" w:rsidR="004C5767" w:rsidRPr="00C02553" w:rsidRDefault="004C5767" w:rsidP="00D27533">
      <w:pPr>
        <w:pStyle w:val="tbody"/>
      </w:pPr>
      <w:r w:rsidRPr="00C02553">
        <w:t>First Implementation Date:</w:t>
      </w:r>
      <w:r w:rsidRPr="00573856">
        <w:rPr>
          <w:b w:val="0"/>
          <w:bCs/>
        </w:rPr>
        <w:t xml:space="preserve"> </w:t>
      </w:r>
      <w:r w:rsidR="00F30446" w:rsidRPr="00F30446">
        <w:rPr>
          <w:b w:val="0"/>
          <w:bCs/>
        </w:rPr>
        <w:t>June 19, 2012</w:t>
      </w:r>
    </w:p>
    <w:p w14:paraId="4B7D760D" w14:textId="58AAFB0F" w:rsidR="004C5767" w:rsidRPr="00057F84" w:rsidRDefault="00F41F69" w:rsidP="70E341D6">
      <w:pPr>
        <w:pStyle w:val="tbody"/>
        <w:rPr>
          <w:b w:val="0"/>
        </w:rPr>
      </w:pPr>
      <w:r>
        <w:t>Propo</w:t>
      </w:r>
      <w:r w:rsidR="004C5767">
        <w:t>sed Date:</w:t>
      </w:r>
      <w:r w:rsidR="00065C22">
        <w:t xml:space="preserve"> </w:t>
      </w:r>
      <w:r w:rsidR="00155A7E">
        <w:rPr>
          <w:b w:val="0"/>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44D1CEA2" w:rsidR="004C5767" w:rsidRPr="00D27533" w:rsidRDefault="004C5767" w:rsidP="00D27533">
      <w:pPr>
        <w:pStyle w:val="tbody"/>
        <w:rPr>
          <w:b w:val="0"/>
          <w:bCs/>
          <w:spacing w:val="-3"/>
        </w:rPr>
      </w:pPr>
      <w:r w:rsidRPr="00C02553">
        <w:t xml:space="preserve">Criteria Status: </w:t>
      </w:r>
      <w:r w:rsidR="008E7921">
        <w:rPr>
          <w:b w:val="0"/>
          <w:bCs/>
        </w:rPr>
        <w:t xml:space="preserve">Revision of </w:t>
      </w:r>
      <w:r w:rsidR="00566BE4" w:rsidRPr="006C45F2">
        <w:rPr>
          <w:b w:val="0"/>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7ACECC9F" w14:textId="745C514C" w:rsidR="00B56DCC" w:rsidRDefault="00CA1E50" w:rsidP="00696E3A">
      <w:r w:rsidRPr="00CA1E50">
        <w:t>Inflammatory Bowel Disease (IBD) describes disorders such as ulcerative colitis (UC) and Crohn’s disease (CD) which involve chronic inflammation in the digestive tract. IBD affects between 2.4 – 2.8 million people in the United States. UC is characterized by recurring inflammation and ulcers in the lining of the colon and rectum. CD is also characterized by inflammation but may involve any portion of the digestive tract, from the oral cavity to the perianal area. Inflammation in CD can affect the entire thickness of the bowel wall and may skip or leave normal areas in between patches of inflammation. Both UC and CD are typically characterized by diarrhea, rectal bleeding, abdominal pain, fatigue, and weight loss. The goals of IBD therapy are to reduce inflammation, leading to symptom relief and reduced risk of further complications from disease.</w:t>
      </w:r>
    </w:p>
    <w:p w14:paraId="1405E0A7" w14:textId="77777777" w:rsidR="00CA1E50" w:rsidRDefault="00CA1E50"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4CE27A87" w14:textId="77777777" w:rsidR="00FD5C9C" w:rsidRPr="00FD5C9C" w:rsidRDefault="00FD5C9C" w:rsidP="00FD5C9C">
      <w:pPr>
        <w:numPr>
          <w:ilvl w:val="0"/>
          <w:numId w:val="15"/>
        </w:numPr>
        <w:rPr>
          <w:rFonts w:cs="Arial"/>
          <w:iCs/>
          <w:spacing w:val="-3"/>
          <w:szCs w:val="20"/>
        </w:rPr>
      </w:pPr>
      <w:proofErr w:type="spellStart"/>
      <w:r w:rsidRPr="00FD5C9C">
        <w:rPr>
          <w:rFonts w:cs="Arial"/>
          <w:iCs/>
          <w:spacing w:val="-3"/>
          <w:szCs w:val="20"/>
        </w:rPr>
        <w:t>Balsalazide</w:t>
      </w:r>
      <w:proofErr w:type="spellEnd"/>
    </w:p>
    <w:p w14:paraId="278375B8" w14:textId="77777777" w:rsidR="00FD5C9C" w:rsidRPr="00FD5C9C" w:rsidRDefault="00FD5C9C" w:rsidP="00FD5C9C">
      <w:pPr>
        <w:numPr>
          <w:ilvl w:val="0"/>
          <w:numId w:val="15"/>
        </w:numPr>
        <w:rPr>
          <w:rFonts w:cs="Arial"/>
          <w:spacing w:val="-3"/>
          <w:szCs w:val="20"/>
        </w:rPr>
      </w:pPr>
      <w:r w:rsidRPr="00FD5C9C">
        <w:rPr>
          <w:rFonts w:cs="Arial"/>
          <w:spacing w:val="-3"/>
          <w:szCs w:val="20"/>
        </w:rPr>
        <w:t xml:space="preserve">Budesonide (gen </w:t>
      </w:r>
      <w:proofErr w:type="spellStart"/>
      <w:r w:rsidRPr="00FD5C9C">
        <w:rPr>
          <w:rFonts w:cs="Arial"/>
          <w:spacing w:val="-3"/>
          <w:szCs w:val="20"/>
        </w:rPr>
        <w:t>Entocort</w:t>
      </w:r>
      <w:proofErr w:type="spellEnd"/>
      <w:r w:rsidRPr="00FD5C9C">
        <w:rPr>
          <w:rFonts w:cs="Arial"/>
          <w:spacing w:val="-3"/>
          <w:szCs w:val="20"/>
          <w:vertAlign w:val="superscript"/>
        </w:rPr>
        <w:t xml:space="preserve"> ®</w:t>
      </w:r>
      <w:r w:rsidRPr="00FD5C9C">
        <w:rPr>
          <w:rFonts w:cs="Arial"/>
          <w:spacing w:val="-3"/>
          <w:szCs w:val="20"/>
        </w:rPr>
        <w:t>)</w:t>
      </w:r>
    </w:p>
    <w:p w14:paraId="7947E42A" w14:textId="77777777" w:rsidR="00FD5C9C" w:rsidRPr="00FD5C9C" w:rsidRDefault="00FD5C9C" w:rsidP="00FD5C9C">
      <w:pPr>
        <w:numPr>
          <w:ilvl w:val="0"/>
          <w:numId w:val="15"/>
        </w:numPr>
        <w:rPr>
          <w:rFonts w:cs="Arial"/>
          <w:iCs/>
          <w:spacing w:val="-3"/>
          <w:szCs w:val="20"/>
        </w:rPr>
      </w:pPr>
      <w:r w:rsidRPr="00FD5C9C">
        <w:rPr>
          <w:rFonts w:cs="Arial"/>
          <w:iCs/>
          <w:spacing w:val="-3"/>
          <w:szCs w:val="20"/>
        </w:rPr>
        <w:t>Mesalamine (gen Lialda</w:t>
      </w:r>
      <w:r w:rsidRPr="00FD5C9C">
        <w:rPr>
          <w:rFonts w:cs="Arial"/>
          <w:iCs/>
          <w:spacing w:val="-3"/>
          <w:szCs w:val="20"/>
          <w:vertAlign w:val="superscript"/>
        </w:rPr>
        <w:t>®</w:t>
      </w:r>
      <w:r w:rsidRPr="00FD5C9C">
        <w:rPr>
          <w:rFonts w:cs="Arial"/>
          <w:iCs/>
          <w:spacing w:val="-3"/>
          <w:szCs w:val="20"/>
        </w:rPr>
        <w:t>)</w:t>
      </w:r>
    </w:p>
    <w:p w14:paraId="592AEBE9" w14:textId="77777777" w:rsidR="00FD5C9C" w:rsidRPr="00FD5C9C" w:rsidRDefault="00FD5C9C" w:rsidP="00FD5C9C">
      <w:pPr>
        <w:numPr>
          <w:ilvl w:val="0"/>
          <w:numId w:val="15"/>
        </w:numPr>
        <w:rPr>
          <w:rFonts w:cs="Arial"/>
          <w:iCs/>
          <w:spacing w:val="-3"/>
          <w:szCs w:val="20"/>
        </w:rPr>
      </w:pPr>
      <w:proofErr w:type="spellStart"/>
      <w:r w:rsidRPr="00FD5C9C">
        <w:rPr>
          <w:rFonts w:cs="Arial"/>
          <w:iCs/>
          <w:spacing w:val="-3"/>
          <w:szCs w:val="20"/>
        </w:rPr>
        <w:t>Pentasa</w:t>
      </w:r>
      <w:proofErr w:type="spellEnd"/>
      <w:r w:rsidRPr="00FD5C9C">
        <w:rPr>
          <w:rFonts w:cs="Arial"/>
          <w:iCs/>
          <w:spacing w:val="-3"/>
          <w:szCs w:val="20"/>
          <w:vertAlign w:val="superscript"/>
        </w:rPr>
        <w:t>®</w:t>
      </w:r>
    </w:p>
    <w:p w14:paraId="47320590" w14:textId="4612C561" w:rsidR="00FD34EA" w:rsidRPr="00FD5C9C" w:rsidRDefault="00FD5C9C" w:rsidP="00FD5C9C">
      <w:pPr>
        <w:numPr>
          <w:ilvl w:val="0"/>
          <w:numId w:val="15"/>
        </w:numPr>
        <w:rPr>
          <w:rFonts w:cs="Arial"/>
          <w:spacing w:val="-3"/>
          <w:szCs w:val="20"/>
        </w:rPr>
      </w:pPr>
      <w:r w:rsidRPr="00FD5C9C">
        <w:rPr>
          <w:rFonts w:cs="Arial"/>
          <w:iCs/>
          <w:spacing w:val="-3"/>
        </w:rPr>
        <w:t>Sulfasalazine DR &amp; IR</w:t>
      </w:r>
    </w:p>
    <w:p w14:paraId="099445E3" w14:textId="77777777" w:rsidR="00FD5C9C" w:rsidRDefault="00FD5C9C" w:rsidP="00FD5C9C">
      <w:pPr>
        <w:rPr>
          <w:rFonts w:cs="Arial"/>
          <w:szCs w:val="20"/>
        </w:rPr>
      </w:pPr>
    </w:p>
    <w:p w14:paraId="56404718" w14:textId="252714AD" w:rsidR="00846FA4" w:rsidRDefault="00846FA4" w:rsidP="00846FA4">
      <w:pPr>
        <w:rPr>
          <w:b/>
          <w:bCs/>
        </w:rPr>
      </w:pPr>
      <w:r>
        <w:rPr>
          <w:b/>
          <w:bCs/>
        </w:rPr>
        <w:t>Non-Preferred Agents:</w:t>
      </w:r>
    </w:p>
    <w:p w14:paraId="418628E4" w14:textId="77777777" w:rsidR="00256EFE" w:rsidRPr="00242F61" w:rsidRDefault="00256EFE" w:rsidP="00256EFE">
      <w:pPr>
        <w:numPr>
          <w:ilvl w:val="0"/>
          <w:numId w:val="16"/>
        </w:numPr>
        <w:rPr>
          <w:rFonts w:cs="Arial"/>
          <w:iCs/>
          <w:spacing w:val="-3"/>
          <w:szCs w:val="20"/>
        </w:rPr>
      </w:pPr>
      <w:proofErr w:type="spellStart"/>
      <w:r w:rsidRPr="00242F61">
        <w:rPr>
          <w:rFonts w:cs="Arial"/>
          <w:iCs/>
          <w:spacing w:val="-3"/>
          <w:szCs w:val="20"/>
        </w:rPr>
        <w:t>Asacol</w:t>
      </w:r>
      <w:proofErr w:type="spellEnd"/>
      <w:r w:rsidRPr="00242F61">
        <w:rPr>
          <w:rFonts w:cs="Arial"/>
          <w:iCs/>
          <w:spacing w:val="-3"/>
          <w:szCs w:val="20"/>
        </w:rPr>
        <w:t xml:space="preserve"> HD</w:t>
      </w:r>
      <w:r w:rsidRPr="00242F61">
        <w:rPr>
          <w:rFonts w:cs="Arial"/>
          <w:iCs/>
          <w:spacing w:val="-3"/>
          <w:szCs w:val="20"/>
          <w:vertAlign w:val="superscript"/>
        </w:rPr>
        <w:t>®</w:t>
      </w:r>
    </w:p>
    <w:p w14:paraId="52DB7F1B" w14:textId="77777777" w:rsidR="00256EFE" w:rsidRPr="00242F61" w:rsidRDefault="00256EFE" w:rsidP="00256EFE">
      <w:pPr>
        <w:numPr>
          <w:ilvl w:val="0"/>
          <w:numId w:val="16"/>
        </w:numPr>
        <w:rPr>
          <w:rFonts w:cs="Arial"/>
          <w:iCs/>
          <w:spacing w:val="-3"/>
          <w:szCs w:val="20"/>
        </w:rPr>
      </w:pPr>
      <w:r w:rsidRPr="00242F61">
        <w:rPr>
          <w:rFonts w:cs="Arial"/>
          <w:iCs/>
          <w:spacing w:val="-3"/>
          <w:szCs w:val="20"/>
        </w:rPr>
        <w:t>Azulfidine</w:t>
      </w:r>
      <w:r w:rsidRPr="00242F61">
        <w:rPr>
          <w:rFonts w:cs="Arial"/>
          <w:iCs/>
          <w:spacing w:val="-3"/>
          <w:szCs w:val="20"/>
          <w:vertAlign w:val="superscript"/>
        </w:rPr>
        <w:t>®</w:t>
      </w:r>
    </w:p>
    <w:p w14:paraId="49A80533" w14:textId="77777777" w:rsidR="00256EFE" w:rsidRPr="00242F61" w:rsidRDefault="00256EFE" w:rsidP="00256EFE">
      <w:pPr>
        <w:numPr>
          <w:ilvl w:val="0"/>
          <w:numId w:val="16"/>
        </w:numPr>
        <w:rPr>
          <w:rFonts w:cs="Arial"/>
          <w:iCs/>
          <w:spacing w:val="-3"/>
          <w:szCs w:val="20"/>
        </w:rPr>
      </w:pPr>
      <w:r w:rsidRPr="00242F61">
        <w:rPr>
          <w:rFonts w:cs="Arial"/>
          <w:iCs/>
          <w:spacing w:val="-3"/>
          <w:szCs w:val="20"/>
        </w:rPr>
        <w:t>Azulfidine EN</w:t>
      </w:r>
      <w:r w:rsidRPr="00242F61">
        <w:rPr>
          <w:rFonts w:cs="Arial"/>
          <w:iCs/>
          <w:spacing w:val="-3"/>
          <w:szCs w:val="20"/>
          <w:vertAlign w:val="superscript"/>
        </w:rPr>
        <w:t>®</w:t>
      </w:r>
      <w:r w:rsidRPr="00242F61">
        <w:rPr>
          <w:rFonts w:cs="Arial"/>
          <w:iCs/>
          <w:spacing w:val="-3"/>
          <w:szCs w:val="20"/>
        </w:rPr>
        <w:t>-tabs</w:t>
      </w:r>
      <w:r w:rsidRPr="00242F61">
        <w:rPr>
          <w:rFonts w:cs="Arial"/>
          <w:iCs/>
          <w:spacing w:val="-3"/>
          <w:szCs w:val="20"/>
          <w:vertAlign w:val="superscript"/>
        </w:rPr>
        <w:t>®</w:t>
      </w:r>
    </w:p>
    <w:p w14:paraId="4DDC5FED" w14:textId="77777777" w:rsidR="00256EFE" w:rsidRPr="00242F61" w:rsidRDefault="00256EFE" w:rsidP="00256EFE">
      <w:pPr>
        <w:numPr>
          <w:ilvl w:val="0"/>
          <w:numId w:val="16"/>
        </w:numPr>
        <w:rPr>
          <w:rFonts w:cs="Arial"/>
          <w:iCs/>
          <w:spacing w:val="-3"/>
          <w:szCs w:val="20"/>
        </w:rPr>
      </w:pPr>
      <w:r w:rsidRPr="00242F61">
        <w:rPr>
          <w:rFonts w:cs="Arial"/>
          <w:iCs/>
          <w:spacing w:val="-3"/>
          <w:szCs w:val="20"/>
        </w:rPr>
        <w:t xml:space="preserve">Budesonide (gen </w:t>
      </w:r>
      <w:proofErr w:type="spellStart"/>
      <w:r w:rsidRPr="00242F61">
        <w:rPr>
          <w:rFonts w:cs="Arial"/>
          <w:iCs/>
          <w:spacing w:val="-3"/>
          <w:szCs w:val="20"/>
        </w:rPr>
        <w:t>Uceris</w:t>
      </w:r>
      <w:proofErr w:type="spellEnd"/>
      <w:r w:rsidRPr="00242F61">
        <w:rPr>
          <w:rFonts w:cs="Arial"/>
          <w:iCs/>
          <w:spacing w:val="-3"/>
          <w:szCs w:val="20"/>
          <w:vertAlign w:val="superscript"/>
        </w:rPr>
        <w:t>®</w:t>
      </w:r>
      <w:r w:rsidRPr="00242F61">
        <w:rPr>
          <w:rFonts w:cs="Arial"/>
          <w:iCs/>
          <w:spacing w:val="-3"/>
          <w:szCs w:val="20"/>
        </w:rPr>
        <w:t>)</w:t>
      </w:r>
    </w:p>
    <w:p w14:paraId="24D77540" w14:textId="77777777" w:rsidR="00256EFE" w:rsidRPr="00242F61" w:rsidRDefault="00256EFE" w:rsidP="00256EFE">
      <w:pPr>
        <w:numPr>
          <w:ilvl w:val="0"/>
          <w:numId w:val="16"/>
        </w:numPr>
        <w:rPr>
          <w:rFonts w:cs="Arial"/>
          <w:iCs/>
          <w:spacing w:val="-3"/>
          <w:szCs w:val="20"/>
        </w:rPr>
      </w:pPr>
      <w:proofErr w:type="spellStart"/>
      <w:r w:rsidRPr="00242F61">
        <w:rPr>
          <w:rFonts w:cs="Arial"/>
          <w:iCs/>
          <w:spacing w:val="-3"/>
          <w:szCs w:val="20"/>
        </w:rPr>
        <w:t>Dipentum</w:t>
      </w:r>
      <w:proofErr w:type="spellEnd"/>
      <w:r w:rsidRPr="00242F61">
        <w:rPr>
          <w:rFonts w:cs="Arial"/>
          <w:iCs/>
          <w:spacing w:val="-3"/>
          <w:szCs w:val="20"/>
          <w:vertAlign w:val="superscript"/>
        </w:rPr>
        <w:t>®</w:t>
      </w:r>
    </w:p>
    <w:p w14:paraId="78B9D8FC" w14:textId="77777777" w:rsidR="00256EFE" w:rsidRPr="00F633C7" w:rsidRDefault="00256EFE" w:rsidP="00256EFE">
      <w:pPr>
        <w:numPr>
          <w:ilvl w:val="0"/>
          <w:numId w:val="16"/>
        </w:numPr>
        <w:rPr>
          <w:rFonts w:cs="Arial"/>
          <w:iCs/>
          <w:spacing w:val="-3"/>
          <w:szCs w:val="20"/>
        </w:rPr>
      </w:pPr>
      <w:r w:rsidRPr="00F633C7">
        <w:rPr>
          <w:rFonts w:cs="Arial"/>
          <w:iCs/>
          <w:spacing w:val="-3"/>
          <w:szCs w:val="20"/>
        </w:rPr>
        <w:t>Lialda</w:t>
      </w:r>
      <w:r w:rsidRPr="00F633C7">
        <w:rPr>
          <w:rFonts w:cs="Arial"/>
          <w:iCs/>
          <w:spacing w:val="-3"/>
          <w:szCs w:val="20"/>
          <w:vertAlign w:val="superscript"/>
        </w:rPr>
        <w:t>®</w:t>
      </w:r>
    </w:p>
    <w:p w14:paraId="0CC6395B" w14:textId="77777777" w:rsidR="00256EFE" w:rsidRPr="00242F61" w:rsidRDefault="00256EFE" w:rsidP="00256EFE">
      <w:pPr>
        <w:numPr>
          <w:ilvl w:val="0"/>
          <w:numId w:val="16"/>
        </w:numPr>
        <w:rPr>
          <w:rFonts w:cs="Arial"/>
          <w:iCs/>
          <w:spacing w:val="-3"/>
          <w:szCs w:val="20"/>
        </w:rPr>
      </w:pPr>
      <w:r w:rsidRPr="00242F61">
        <w:rPr>
          <w:rFonts w:cs="Arial"/>
          <w:iCs/>
          <w:spacing w:val="-3"/>
          <w:szCs w:val="20"/>
        </w:rPr>
        <w:t xml:space="preserve">Mesalamine (gen </w:t>
      </w:r>
      <w:proofErr w:type="spellStart"/>
      <w:r w:rsidRPr="00242F61">
        <w:rPr>
          <w:rFonts w:cs="Arial"/>
          <w:iCs/>
          <w:spacing w:val="-3"/>
          <w:szCs w:val="20"/>
        </w:rPr>
        <w:t>Apriso</w:t>
      </w:r>
      <w:proofErr w:type="spellEnd"/>
      <w:r w:rsidRPr="00242F61">
        <w:rPr>
          <w:rFonts w:cs="Arial"/>
          <w:iCs/>
          <w:spacing w:val="-3"/>
          <w:szCs w:val="20"/>
          <w:vertAlign w:val="superscript"/>
        </w:rPr>
        <w:t>®</w:t>
      </w:r>
      <w:r w:rsidRPr="00242F61">
        <w:rPr>
          <w:rFonts w:cs="Arial"/>
          <w:iCs/>
          <w:spacing w:val="-3"/>
          <w:szCs w:val="20"/>
        </w:rPr>
        <w:t>)</w:t>
      </w:r>
    </w:p>
    <w:p w14:paraId="2B930AA3" w14:textId="77777777" w:rsidR="00256EFE" w:rsidRPr="00242F61" w:rsidRDefault="00256EFE" w:rsidP="00256EFE">
      <w:pPr>
        <w:numPr>
          <w:ilvl w:val="0"/>
          <w:numId w:val="16"/>
        </w:numPr>
        <w:rPr>
          <w:rFonts w:cs="Arial"/>
          <w:iCs/>
          <w:spacing w:val="-3"/>
          <w:szCs w:val="20"/>
        </w:rPr>
      </w:pPr>
      <w:r w:rsidRPr="00242F61">
        <w:rPr>
          <w:rFonts w:cs="Arial"/>
          <w:iCs/>
          <w:spacing w:val="-3"/>
          <w:szCs w:val="20"/>
        </w:rPr>
        <w:t xml:space="preserve">Mesalamine (gen </w:t>
      </w:r>
      <w:proofErr w:type="spellStart"/>
      <w:r w:rsidRPr="00242F61">
        <w:rPr>
          <w:rFonts w:cs="Arial"/>
          <w:iCs/>
          <w:spacing w:val="-3"/>
          <w:szCs w:val="20"/>
        </w:rPr>
        <w:t>Asacol</w:t>
      </w:r>
      <w:proofErr w:type="spellEnd"/>
      <w:r w:rsidRPr="00242F61">
        <w:rPr>
          <w:rFonts w:cs="Arial"/>
          <w:iCs/>
          <w:spacing w:val="-3"/>
          <w:szCs w:val="20"/>
        </w:rPr>
        <w:t xml:space="preserve"> HD</w:t>
      </w:r>
      <w:r w:rsidRPr="00242F61">
        <w:rPr>
          <w:rFonts w:cs="Arial"/>
          <w:iCs/>
          <w:spacing w:val="-3"/>
          <w:szCs w:val="20"/>
          <w:vertAlign w:val="superscript"/>
        </w:rPr>
        <w:t>®</w:t>
      </w:r>
      <w:r w:rsidRPr="00242F61">
        <w:rPr>
          <w:rFonts w:cs="Arial"/>
          <w:iCs/>
          <w:spacing w:val="-3"/>
          <w:szCs w:val="20"/>
        </w:rPr>
        <w:t>)</w:t>
      </w:r>
    </w:p>
    <w:p w14:paraId="430BD9FE" w14:textId="77777777" w:rsidR="00256EFE" w:rsidRPr="00242F61" w:rsidRDefault="00256EFE" w:rsidP="00256EFE">
      <w:pPr>
        <w:numPr>
          <w:ilvl w:val="0"/>
          <w:numId w:val="16"/>
        </w:numPr>
        <w:rPr>
          <w:rFonts w:cs="Arial"/>
          <w:iCs/>
          <w:spacing w:val="-3"/>
          <w:szCs w:val="20"/>
        </w:rPr>
      </w:pPr>
      <w:r w:rsidRPr="00242F61">
        <w:rPr>
          <w:rFonts w:cs="Arial"/>
          <w:iCs/>
          <w:spacing w:val="-3"/>
          <w:szCs w:val="20"/>
        </w:rPr>
        <w:t xml:space="preserve">Mesalamine (gen </w:t>
      </w:r>
      <w:proofErr w:type="spellStart"/>
      <w:r w:rsidRPr="00242F61">
        <w:rPr>
          <w:rFonts w:cs="Arial"/>
          <w:iCs/>
          <w:spacing w:val="-3"/>
          <w:szCs w:val="20"/>
        </w:rPr>
        <w:t>Delzicol</w:t>
      </w:r>
      <w:proofErr w:type="spellEnd"/>
      <w:r w:rsidRPr="00242F61">
        <w:rPr>
          <w:rFonts w:cs="Arial"/>
          <w:iCs/>
          <w:spacing w:val="-3"/>
          <w:szCs w:val="20"/>
          <w:vertAlign w:val="superscript"/>
        </w:rPr>
        <w:t>®</w:t>
      </w:r>
      <w:r w:rsidRPr="00242F61">
        <w:rPr>
          <w:rFonts w:cs="Arial"/>
          <w:iCs/>
          <w:spacing w:val="-3"/>
          <w:szCs w:val="20"/>
        </w:rPr>
        <w:t>)</w:t>
      </w:r>
    </w:p>
    <w:p w14:paraId="38B6C9C1" w14:textId="77777777" w:rsidR="00256EFE" w:rsidRPr="002C09C9" w:rsidRDefault="00256EFE" w:rsidP="00256EFE">
      <w:pPr>
        <w:numPr>
          <w:ilvl w:val="0"/>
          <w:numId w:val="16"/>
        </w:numPr>
        <w:rPr>
          <w:rFonts w:cs="Arial"/>
          <w:iCs/>
          <w:spacing w:val="-3"/>
          <w:szCs w:val="20"/>
        </w:rPr>
      </w:pPr>
      <w:r w:rsidRPr="002C09C9">
        <w:rPr>
          <w:rFonts w:cs="Arial"/>
          <w:iCs/>
          <w:spacing w:val="-3"/>
          <w:szCs w:val="20"/>
        </w:rPr>
        <w:t xml:space="preserve">Mesalamine (gen </w:t>
      </w:r>
      <w:proofErr w:type="spellStart"/>
      <w:r w:rsidRPr="002C09C9">
        <w:rPr>
          <w:rFonts w:cs="Arial"/>
          <w:iCs/>
          <w:spacing w:val="-3"/>
          <w:szCs w:val="20"/>
        </w:rPr>
        <w:t>Pentasa</w:t>
      </w:r>
      <w:proofErr w:type="spellEnd"/>
      <w:r w:rsidRPr="002C09C9">
        <w:rPr>
          <w:rFonts w:cs="Arial"/>
          <w:iCs/>
          <w:spacing w:val="-3"/>
          <w:szCs w:val="20"/>
          <w:vertAlign w:val="superscript"/>
        </w:rPr>
        <w:t>®</w:t>
      </w:r>
      <w:r w:rsidRPr="002C09C9">
        <w:rPr>
          <w:rFonts w:cs="Arial"/>
          <w:iCs/>
          <w:spacing w:val="-3"/>
          <w:szCs w:val="20"/>
        </w:rPr>
        <w:t>)</w:t>
      </w:r>
    </w:p>
    <w:p w14:paraId="6D696800" w14:textId="48FAC5B3" w:rsidR="00E23EC0" w:rsidRPr="00256EFE" w:rsidRDefault="00256EFE" w:rsidP="00256EFE">
      <w:pPr>
        <w:numPr>
          <w:ilvl w:val="0"/>
          <w:numId w:val="16"/>
        </w:numPr>
        <w:rPr>
          <w:rFonts w:cs="Arial"/>
          <w:spacing w:val="-3"/>
        </w:rPr>
      </w:pPr>
      <w:r w:rsidRPr="00256EFE">
        <w:rPr>
          <w:rFonts w:cs="Arial"/>
          <w:iCs/>
          <w:spacing w:val="-3"/>
          <w:szCs w:val="20"/>
        </w:rPr>
        <w:t>Velsipity</w:t>
      </w:r>
      <w:r w:rsidRPr="00256EFE">
        <w:rPr>
          <w:rFonts w:cs="Arial"/>
          <w:iCs/>
          <w:spacing w:val="-3"/>
          <w:szCs w:val="20"/>
          <w:vertAlign w:val="superscript"/>
        </w:rPr>
        <w:t>™</w:t>
      </w:r>
    </w:p>
    <w:p w14:paraId="3D2997A9" w14:textId="77777777" w:rsidR="00256EFE" w:rsidRDefault="00256EFE" w:rsidP="00256EFE">
      <w:pPr>
        <w:ind w:left="360"/>
        <w:rPr>
          <w:rFonts w:cs="Arial"/>
          <w:spacing w:val="-3"/>
        </w:rPr>
      </w:pPr>
    </w:p>
    <w:p w14:paraId="37C01EFD" w14:textId="77777777" w:rsidR="00095D50" w:rsidRPr="00256EFE" w:rsidRDefault="00095D50" w:rsidP="00256EFE">
      <w:pPr>
        <w:ind w:left="360"/>
        <w:rPr>
          <w:rFonts w:cs="Arial"/>
          <w:spacing w:val="-3"/>
        </w:rPr>
      </w:pPr>
    </w:p>
    <w:p w14:paraId="6413C027" w14:textId="18F824F6" w:rsidR="00AE77DB" w:rsidRPr="00C02553" w:rsidRDefault="00AE77DB" w:rsidP="00E354AA">
      <w:pPr>
        <w:pStyle w:val="Heading1"/>
        <w:rPr>
          <w:lang w:val="en-US"/>
        </w:rPr>
      </w:pPr>
      <w:r w:rsidRPr="00C02553">
        <w:rPr>
          <w:lang w:val="en-US"/>
        </w:rPr>
        <w:lastRenderedPageBreak/>
        <w:t xml:space="preserve">Setting &amp; Population </w:t>
      </w:r>
    </w:p>
    <w:p w14:paraId="04B7FBFB" w14:textId="06129280" w:rsidR="0097028A" w:rsidRPr="0079438F" w:rsidRDefault="0097028A" w:rsidP="00696E3A">
      <w:pPr>
        <w:rPr>
          <w:b/>
        </w:rPr>
      </w:pPr>
      <w:r w:rsidRPr="00696E3A">
        <w:rPr>
          <w:b/>
          <w:bCs/>
        </w:rPr>
        <w:t>Drug class for review:</w:t>
      </w:r>
      <w:r w:rsidRPr="00C02553">
        <w:t xml:space="preserve"> </w:t>
      </w:r>
      <w:r w:rsidR="00C83B35" w:rsidRPr="00242F61">
        <w:rPr>
          <w:rFonts w:cs="Arial"/>
          <w:szCs w:val="20"/>
        </w:rPr>
        <w:t>Inflammatory Bowel Disease Agents</w:t>
      </w:r>
      <w:r w:rsidR="00C83B35">
        <w:rPr>
          <w:rFonts w:cs="Arial"/>
          <w:szCs w:val="20"/>
        </w:rPr>
        <w:t>,</w:t>
      </w:r>
      <w:r w:rsidR="00C83B35" w:rsidRPr="00612E5D">
        <w:rPr>
          <w:rFonts w:cs="Arial"/>
          <w:szCs w:val="20"/>
        </w:rPr>
        <w:t xml:space="preserve"> Oral</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4EFEF877" w14:textId="77777777" w:rsidR="00D2241A" w:rsidRDefault="00635DDB" w:rsidP="00D2241A">
      <w:pPr>
        <w:numPr>
          <w:ilvl w:val="0"/>
          <w:numId w:val="18"/>
        </w:numPr>
        <w:rPr>
          <w:rFonts w:cs="Arial"/>
          <w:szCs w:val="20"/>
        </w:rPr>
      </w:pPr>
      <w:r>
        <w:rPr>
          <w:rFonts w:cs="Arial"/>
          <w:szCs w:val="20"/>
        </w:rPr>
        <w:t xml:space="preserve">Must meet </w:t>
      </w:r>
      <w:r w:rsidR="00D2241A">
        <w:rPr>
          <w:rFonts w:cs="Arial"/>
          <w:szCs w:val="20"/>
        </w:rPr>
        <w:t>one of the following:</w:t>
      </w:r>
    </w:p>
    <w:p w14:paraId="268EBD55" w14:textId="77777777" w:rsidR="00D2241A" w:rsidRPr="0085020C" w:rsidRDefault="00D2241A" w:rsidP="00D2241A">
      <w:pPr>
        <w:numPr>
          <w:ilvl w:val="1"/>
          <w:numId w:val="18"/>
        </w:numPr>
        <w:rPr>
          <w:rFonts w:cs="Arial"/>
          <w:szCs w:val="20"/>
        </w:rPr>
      </w:pPr>
      <w:r>
        <w:rPr>
          <w:rFonts w:cs="Arial"/>
          <w:szCs w:val="20"/>
        </w:rPr>
        <w:t xml:space="preserve">Claim is for a preferred </w:t>
      </w:r>
      <w:proofErr w:type="gramStart"/>
      <w:r>
        <w:rPr>
          <w:rFonts w:cs="Arial"/>
          <w:szCs w:val="20"/>
        </w:rPr>
        <w:t>agent;</w:t>
      </w:r>
      <w:proofErr w:type="gramEnd"/>
      <w:r>
        <w:rPr>
          <w:rFonts w:cs="Arial"/>
          <w:szCs w:val="20"/>
        </w:rPr>
        <w:t xml:space="preserve"> </w:t>
      </w:r>
    </w:p>
    <w:p w14:paraId="4D022006" w14:textId="7AB89061" w:rsidR="00635DDB" w:rsidRPr="005A77D5" w:rsidRDefault="00D2241A" w:rsidP="005A77D5">
      <w:pPr>
        <w:pStyle w:val="ListParagraph"/>
        <w:numPr>
          <w:ilvl w:val="1"/>
          <w:numId w:val="18"/>
        </w:numPr>
        <w:rPr>
          <w:rFonts w:cs="Arial"/>
          <w:szCs w:val="20"/>
        </w:rPr>
      </w:pPr>
      <w:r w:rsidRPr="00001108">
        <w:rPr>
          <w:rFonts w:cs="Arial"/>
          <w:szCs w:val="20"/>
        </w:rPr>
        <w:t xml:space="preserve">Claim is for </w:t>
      </w:r>
      <w:r w:rsidR="00001108" w:rsidRPr="005A77D5">
        <w:rPr>
          <w:rFonts w:cs="Arial"/>
          <w:b/>
          <w:bCs/>
          <w:color w:val="1F497D" w:themeColor="text2"/>
          <w:szCs w:val="20"/>
        </w:rPr>
        <w:t xml:space="preserve">Budesonide (gen </w:t>
      </w:r>
      <w:proofErr w:type="spellStart"/>
      <w:r w:rsidR="00001108" w:rsidRPr="005A77D5">
        <w:rPr>
          <w:rFonts w:cs="Arial"/>
          <w:b/>
          <w:bCs/>
          <w:color w:val="1F497D" w:themeColor="text2"/>
          <w:szCs w:val="20"/>
        </w:rPr>
        <w:t>Uceris</w:t>
      </w:r>
      <w:proofErr w:type="spellEnd"/>
      <w:r w:rsidR="00001108" w:rsidRPr="005A77D5">
        <w:rPr>
          <w:rFonts w:cs="Arial"/>
          <w:b/>
          <w:bCs/>
          <w:color w:val="1F497D" w:themeColor="text2"/>
          <w:szCs w:val="20"/>
        </w:rPr>
        <w:t>)</w:t>
      </w:r>
      <w:r w:rsidR="005A77D5" w:rsidRPr="005A77D5">
        <w:rPr>
          <w:rFonts w:cs="Arial"/>
          <w:szCs w:val="20"/>
        </w:rPr>
        <w:t xml:space="preserve"> </w:t>
      </w:r>
      <w:r w:rsidRPr="005A77D5">
        <w:rPr>
          <w:rFonts w:cs="Arial"/>
          <w:szCs w:val="20"/>
        </w:rPr>
        <w:t xml:space="preserve">or </w:t>
      </w:r>
      <w:proofErr w:type="spellStart"/>
      <w:r w:rsidRPr="005A77D5">
        <w:rPr>
          <w:rFonts w:cs="Arial"/>
          <w:szCs w:val="20"/>
        </w:rPr>
        <w:t>Velsipity</w:t>
      </w:r>
      <w:proofErr w:type="spellEnd"/>
      <w:r w:rsidRPr="005A77D5">
        <w:rPr>
          <w:rFonts w:cs="Arial"/>
          <w:szCs w:val="20"/>
        </w:rPr>
        <w:t xml:space="preserve"> – must meet </w:t>
      </w:r>
      <w:proofErr w:type="gramStart"/>
      <w:r w:rsidR="00635DDB" w:rsidRPr="005A77D5">
        <w:rPr>
          <w:rFonts w:cs="Arial"/>
          <w:szCs w:val="20"/>
        </w:rPr>
        <w:t>all of</w:t>
      </w:r>
      <w:proofErr w:type="gramEnd"/>
      <w:r w:rsidR="00635DDB" w:rsidRPr="005A77D5">
        <w:rPr>
          <w:rFonts w:cs="Arial"/>
          <w:szCs w:val="20"/>
        </w:rPr>
        <w:t xml:space="preserve"> the following:</w:t>
      </w:r>
    </w:p>
    <w:p w14:paraId="65935E38" w14:textId="77777777" w:rsidR="00D2241A" w:rsidRPr="000C3B2B" w:rsidRDefault="00D2241A" w:rsidP="00D2241A">
      <w:pPr>
        <w:numPr>
          <w:ilvl w:val="2"/>
          <w:numId w:val="18"/>
        </w:numPr>
        <w:rPr>
          <w:rFonts w:cs="Arial"/>
          <w:szCs w:val="20"/>
        </w:rPr>
      </w:pPr>
      <w:r w:rsidRPr="000C3B2B">
        <w:rPr>
          <w:rFonts w:cs="Arial"/>
          <w:szCs w:val="20"/>
        </w:rPr>
        <w:t xml:space="preserve">Documented trial of 1 preferred 5-Aminosalicylic Acid (5-ASA) agent; </w:t>
      </w:r>
      <w:r w:rsidRPr="00E0121F">
        <w:rPr>
          <w:rFonts w:cs="Arial"/>
          <w:b/>
          <w:bCs/>
          <w:szCs w:val="20"/>
        </w:rPr>
        <w:t>OR</w:t>
      </w:r>
    </w:p>
    <w:p w14:paraId="61927497" w14:textId="77777777" w:rsidR="00D2241A" w:rsidRPr="00612E5D" w:rsidRDefault="00D2241A" w:rsidP="00D2241A">
      <w:pPr>
        <w:numPr>
          <w:ilvl w:val="1"/>
          <w:numId w:val="18"/>
        </w:numPr>
        <w:rPr>
          <w:rFonts w:cs="Arial"/>
          <w:szCs w:val="20"/>
        </w:rPr>
      </w:pPr>
      <w:r w:rsidRPr="00612E5D">
        <w:rPr>
          <w:rFonts w:cs="Arial"/>
          <w:szCs w:val="20"/>
        </w:rPr>
        <w:t>Failure to achieve desired therapeutic outcomes with trial on 3</w:t>
      </w:r>
      <w:r>
        <w:rPr>
          <w:rFonts w:cs="Arial"/>
          <w:szCs w:val="20"/>
        </w:rPr>
        <w:t xml:space="preserve"> or more</w:t>
      </w:r>
      <w:r w:rsidRPr="00612E5D">
        <w:rPr>
          <w:rFonts w:cs="Arial"/>
          <w:szCs w:val="20"/>
        </w:rPr>
        <w:t xml:space="preserve"> preferred </w:t>
      </w:r>
      <w:proofErr w:type="gramStart"/>
      <w:r w:rsidRPr="00612E5D">
        <w:rPr>
          <w:rFonts w:cs="Arial"/>
          <w:szCs w:val="20"/>
        </w:rPr>
        <w:t>agents</w:t>
      </w:r>
      <w:r>
        <w:rPr>
          <w:rFonts w:cs="Arial"/>
          <w:szCs w:val="20"/>
        </w:rPr>
        <w:t>;</w:t>
      </w:r>
      <w:proofErr w:type="gramEnd"/>
      <w:r w:rsidRPr="00612E5D">
        <w:rPr>
          <w:rFonts w:cs="Arial"/>
          <w:szCs w:val="20"/>
        </w:rPr>
        <w:t xml:space="preserve"> </w:t>
      </w:r>
    </w:p>
    <w:p w14:paraId="4A8FB46C" w14:textId="77777777" w:rsidR="00D2241A" w:rsidRPr="00612E5D" w:rsidRDefault="00D2241A" w:rsidP="00D2241A">
      <w:pPr>
        <w:numPr>
          <w:ilvl w:val="2"/>
          <w:numId w:val="18"/>
        </w:numPr>
        <w:jc w:val="both"/>
        <w:rPr>
          <w:rFonts w:cs="Arial"/>
          <w:szCs w:val="20"/>
        </w:rPr>
      </w:pPr>
      <w:r w:rsidRPr="00612E5D">
        <w:rPr>
          <w:rFonts w:cs="Arial"/>
          <w:szCs w:val="20"/>
        </w:rPr>
        <w:t>Documented trial period of preferred agents</w:t>
      </w:r>
      <w:r>
        <w:rPr>
          <w:rFonts w:cs="Arial"/>
          <w:szCs w:val="20"/>
        </w:rPr>
        <w:t xml:space="preserve">; </w:t>
      </w:r>
      <w:r w:rsidRPr="00102C16">
        <w:rPr>
          <w:rFonts w:cs="Arial"/>
          <w:b/>
          <w:bCs/>
          <w:szCs w:val="20"/>
        </w:rPr>
        <w:t>OR</w:t>
      </w:r>
    </w:p>
    <w:p w14:paraId="06097ED6" w14:textId="77777777" w:rsidR="00D2241A" w:rsidRPr="00814BD4" w:rsidRDefault="00D2241A" w:rsidP="00D2241A">
      <w:pPr>
        <w:numPr>
          <w:ilvl w:val="2"/>
          <w:numId w:val="18"/>
        </w:numPr>
        <w:jc w:val="both"/>
        <w:rPr>
          <w:rFonts w:cs="Arial"/>
          <w:szCs w:val="20"/>
        </w:rPr>
      </w:pPr>
      <w:r w:rsidRPr="00612E5D">
        <w:rPr>
          <w:rFonts w:cs="Arial"/>
          <w:szCs w:val="20"/>
        </w:rPr>
        <w:t>Documented ADE/ADR to preferred agents</w:t>
      </w:r>
      <w:r>
        <w:rPr>
          <w:rFonts w:cs="Arial"/>
          <w:szCs w:val="20"/>
        </w:rPr>
        <w:t>.</w:t>
      </w:r>
    </w:p>
    <w:p w14:paraId="355384ED" w14:textId="7E4196BB" w:rsidR="00D2241A" w:rsidRPr="000C3B2B" w:rsidRDefault="00D2241A" w:rsidP="00D2241A">
      <w:pPr>
        <w:numPr>
          <w:ilvl w:val="0"/>
          <w:numId w:val="17"/>
        </w:numPr>
        <w:rPr>
          <w:rFonts w:cs="Arial"/>
          <w:spacing w:val="-3"/>
          <w:szCs w:val="20"/>
        </w:rPr>
      </w:pPr>
      <w:r w:rsidRPr="000C3B2B">
        <w:rPr>
          <w:rFonts w:cs="Arial"/>
          <w:szCs w:val="20"/>
        </w:rPr>
        <w:t xml:space="preserve">Additional approval criteria for </w:t>
      </w:r>
      <w:r w:rsidRPr="000C3B2B">
        <w:rPr>
          <w:rFonts w:cs="Arial"/>
          <w:spacing w:val="-3"/>
          <w:szCs w:val="20"/>
        </w:rPr>
        <w:t xml:space="preserve">Budesonide (gen </w:t>
      </w:r>
      <w:proofErr w:type="spellStart"/>
      <w:r w:rsidRPr="000C3B2B">
        <w:rPr>
          <w:rFonts w:cs="Arial"/>
          <w:spacing w:val="-3"/>
          <w:szCs w:val="20"/>
        </w:rPr>
        <w:t>Entocort</w:t>
      </w:r>
      <w:proofErr w:type="spellEnd"/>
      <w:r w:rsidRPr="000C3B2B">
        <w:rPr>
          <w:rFonts w:cs="Arial"/>
          <w:spacing w:val="-3"/>
          <w:szCs w:val="20"/>
        </w:rPr>
        <w:t>):</w:t>
      </w:r>
    </w:p>
    <w:p w14:paraId="601F3FE1" w14:textId="77777777" w:rsidR="00D2241A" w:rsidRPr="000C3B2B" w:rsidRDefault="00D2241A" w:rsidP="00D2241A">
      <w:pPr>
        <w:numPr>
          <w:ilvl w:val="1"/>
          <w:numId w:val="18"/>
        </w:numPr>
        <w:rPr>
          <w:rFonts w:cs="Arial"/>
          <w:szCs w:val="20"/>
        </w:rPr>
      </w:pPr>
      <w:r w:rsidRPr="000C3B2B">
        <w:rPr>
          <w:rFonts w:cs="Arial"/>
          <w:szCs w:val="20"/>
        </w:rPr>
        <w:t xml:space="preserve">Participant aged 6 years or older </w:t>
      </w:r>
    </w:p>
    <w:p w14:paraId="29E27507" w14:textId="77777777" w:rsidR="00D2241A" w:rsidRDefault="00D2241A" w:rsidP="00D2241A">
      <w:pPr>
        <w:numPr>
          <w:ilvl w:val="0"/>
          <w:numId w:val="18"/>
        </w:numPr>
        <w:rPr>
          <w:rFonts w:cs="Arial"/>
          <w:szCs w:val="20"/>
        </w:rPr>
      </w:pPr>
      <w:r>
        <w:rPr>
          <w:rFonts w:cs="Arial"/>
          <w:szCs w:val="20"/>
        </w:rPr>
        <w:t>Additional approval criteria f</w:t>
      </w:r>
      <w:r w:rsidRPr="00AE2D73">
        <w:rPr>
          <w:rFonts w:cs="Arial"/>
          <w:szCs w:val="20"/>
        </w:rPr>
        <w:t>or Azulfidine and Azulfidine EN-tabs</w:t>
      </w:r>
      <w:r>
        <w:rPr>
          <w:rFonts w:cs="Arial"/>
          <w:szCs w:val="20"/>
        </w:rPr>
        <w:t>:</w:t>
      </w:r>
    </w:p>
    <w:p w14:paraId="6FB062A9" w14:textId="77777777" w:rsidR="00D2241A" w:rsidRPr="00AE2D73" w:rsidRDefault="00D2241A" w:rsidP="00D2241A">
      <w:pPr>
        <w:numPr>
          <w:ilvl w:val="1"/>
          <w:numId w:val="18"/>
        </w:numPr>
        <w:rPr>
          <w:rFonts w:cs="Arial"/>
          <w:szCs w:val="20"/>
        </w:rPr>
      </w:pPr>
      <w:r>
        <w:rPr>
          <w:rFonts w:cs="Arial"/>
          <w:szCs w:val="20"/>
        </w:rPr>
        <w:t>P</w:t>
      </w:r>
      <w:r w:rsidRPr="00AE2D73">
        <w:rPr>
          <w:rFonts w:cs="Arial"/>
          <w:szCs w:val="20"/>
        </w:rPr>
        <w:t xml:space="preserve">articipant aged 2 years or older </w:t>
      </w:r>
    </w:p>
    <w:p w14:paraId="5CC5D46B" w14:textId="1495AF57" w:rsidR="00D2241A" w:rsidRPr="009C0404" w:rsidRDefault="00D2241A" w:rsidP="009C0404">
      <w:pPr>
        <w:pStyle w:val="ListParagraph"/>
        <w:numPr>
          <w:ilvl w:val="0"/>
          <w:numId w:val="18"/>
        </w:numPr>
        <w:rPr>
          <w:rFonts w:cs="Arial"/>
          <w:color w:val="1F497D" w:themeColor="text2"/>
          <w:szCs w:val="20"/>
          <w:lang w:val="it-IT"/>
        </w:rPr>
      </w:pPr>
      <w:r w:rsidRPr="009C0404">
        <w:rPr>
          <w:rFonts w:cs="Arial"/>
          <w:szCs w:val="20"/>
          <w:lang w:val="it-IT"/>
        </w:rPr>
        <w:t xml:space="preserve">Additional approval criteria for </w:t>
      </w:r>
      <w:r w:rsidRPr="009C0404">
        <w:rPr>
          <w:rFonts w:cs="Arial"/>
          <w:b/>
          <w:bCs/>
          <w:strike/>
          <w:color w:val="1F497D" w:themeColor="text2"/>
          <w:szCs w:val="20"/>
          <w:lang w:val="it-IT"/>
        </w:rPr>
        <w:t>Colazal,</w:t>
      </w:r>
      <w:r w:rsidRPr="009C0404">
        <w:rPr>
          <w:rFonts w:cs="Arial"/>
          <w:color w:val="1F497D" w:themeColor="text2"/>
          <w:szCs w:val="20"/>
          <w:lang w:val="it-IT"/>
        </w:rPr>
        <w:t xml:space="preserve"> </w:t>
      </w:r>
      <w:r w:rsidR="009C0404" w:rsidRPr="009C0404">
        <w:rPr>
          <w:rFonts w:cs="Arial"/>
          <w:b/>
          <w:bCs/>
          <w:color w:val="1F497D" w:themeColor="text2"/>
          <w:szCs w:val="20"/>
          <w:lang w:val="it-IT"/>
        </w:rPr>
        <w:t>Mesalamine (gen Delzicol)</w:t>
      </w:r>
      <w:r w:rsidR="009C0404" w:rsidRPr="009C0404">
        <w:rPr>
          <w:rFonts w:cs="Arial"/>
          <w:szCs w:val="20"/>
          <w:lang w:val="it-IT"/>
        </w:rPr>
        <w:t xml:space="preserve"> </w:t>
      </w:r>
      <w:r w:rsidRPr="009C0404">
        <w:rPr>
          <w:rFonts w:cs="Arial"/>
          <w:szCs w:val="20"/>
          <w:lang w:val="it-IT"/>
        </w:rPr>
        <w:t xml:space="preserve">or Lialda: </w:t>
      </w:r>
    </w:p>
    <w:p w14:paraId="2C7303C9" w14:textId="77777777" w:rsidR="00D2241A" w:rsidRPr="00AE2D73" w:rsidRDefault="00D2241A" w:rsidP="00D2241A">
      <w:pPr>
        <w:numPr>
          <w:ilvl w:val="1"/>
          <w:numId w:val="18"/>
        </w:numPr>
        <w:rPr>
          <w:rFonts w:cs="Arial"/>
          <w:szCs w:val="20"/>
        </w:rPr>
      </w:pPr>
      <w:r>
        <w:rPr>
          <w:rFonts w:cs="Arial"/>
          <w:szCs w:val="20"/>
        </w:rPr>
        <w:t>P</w:t>
      </w:r>
      <w:r w:rsidRPr="00AE2D73">
        <w:rPr>
          <w:rFonts w:cs="Arial"/>
          <w:szCs w:val="20"/>
        </w:rPr>
        <w:t xml:space="preserve">articipant aged 5 years or older </w:t>
      </w:r>
    </w:p>
    <w:p w14:paraId="5364F39C" w14:textId="77777777" w:rsidR="00D2241A" w:rsidRDefault="00D2241A" w:rsidP="00D2241A">
      <w:pPr>
        <w:numPr>
          <w:ilvl w:val="0"/>
          <w:numId w:val="18"/>
        </w:numPr>
        <w:rPr>
          <w:rFonts w:cs="Arial"/>
          <w:szCs w:val="20"/>
        </w:rPr>
      </w:pPr>
      <w:r>
        <w:rPr>
          <w:rFonts w:cs="Arial"/>
          <w:szCs w:val="20"/>
        </w:rPr>
        <w:t>Additional approval criteria for all other preferred and non-preferred agents:</w:t>
      </w:r>
    </w:p>
    <w:p w14:paraId="62E28D59" w14:textId="77777777" w:rsidR="00D2241A" w:rsidRDefault="00D2241A" w:rsidP="00D2241A">
      <w:pPr>
        <w:numPr>
          <w:ilvl w:val="1"/>
          <w:numId w:val="18"/>
        </w:numPr>
        <w:rPr>
          <w:rFonts w:cs="Arial"/>
          <w:szCs w:val="20"/>
        </w:rPr>
      </w:pPr>
      <w:r>
        <w:rPr>
          <w:rFonts w:cs="Arial"/>
          <w:szCs w:val="20"/>
        </w:rPr>
        <w:t>P</w:t>
      </w:r>
      <w:r w:rsidRPr="00AE2D73">
        <w:rPr>
          <w:rFonts w:cs="Arial"/>
          <w:szCs w:val="20"/>
        </w:rPr>
        <w:t xml:space="preserve">articipant aged 18 years or older </w:t>
      </w:r>
    </w:p>
    <w:p w14:paraId="28557BD4" w14:textId="77777777" w:rsidR="00D2241A" w:rsidRPr="00576E9E" w:rsidRDefault="00D2241A" w:rsidP="00D2241A">
      <w:pPr>
        <w:numPr>
          <w:ilvl w:val="0"/>
          <w:numId w:val="18"/>
        </w:numPr>
        <w:rPr>
          <w:rFonts w:cs="Arial"/>
          <w:szCs w:val="20"/>
        </w:rPr>
      </w:pPr>
      <w:r w:rsidRPr="00576E9E">
        <w:rPr>
          <w:rFonts w:cs="Arial"/>
          <w:szCs w:val="20"/>
        </w:rPr>
        <w:t xml:space="preserve">Additional approval criteria for </w:t>
      </w:r>
      <w:r w:rsidRPr="00576E9E">
        <w:rPr>
          <w:rFonts w:cs="Arial"/>
          <w:iCs/>
          <w:spacing w:val="-3"/>
          <w:szCs w:val="20"/>
        </w:rPr>
        <w:t>Velsipity:</w:t>
      </w:r>
    </w:p>
    <w:p w14:paraId="727C4E74" w14:textId="77777777" w:rsidR="00635DDB" w:rsidRPr="00576E9E" w:rsidRDefault="00635DDB" w:rsidP="00D2241A">
      <w:pPr>
        <w:numPr>
          <w:ilvl w:val="1"/>
          <w:numId w:val="18"/>
        </w:numPr>
        <w:rPr>
          <w:rFonts w:cs="Arial"/>
          <w:spacing w:val="-3"/>
          <w:szCs w:val="20"/>
        </w:rPr>
      </w:pPr>
      <w:r w:rsidRPr="00576E9E">
        <w:rPr>
          <w:rFonts w:cs="Arial"/>
          <w:spacing w:val="-3"/>
          <w:szCs w:val="20"/>
        </w:rPr>
        <w:t xml:space="preserve">Must meet </w:t>
      </w:r>
      <w:proofErr w:type="gramStart"/>
      <w:r w:rsidRPr="00576E9E">
        <w:rPr>
          <w:rFonts w:cs="Arial"/>
          <w:spacing w:val="-3"/>
          <w:szCs w:val="20"/>
        </w:rPr>
        <w:t>all of</w:t>
      </w:r>
      <w:proofErr w:type="gramEnd"/>
      <w:r w:rsidRPr="00576E9E">
        <w:rPr>
          <w:rFonts w:cs="Arial"/>
          <w:spacing w:val="-3"/>
          <w:szCs w:val="20"/>
        </w:rPr>
        <w:t xml:space="preserve"> the following:</w:t>
      </w:r>
    </w:p>
    <w:p w14:paraId="25DA9B33" w14:textId="04CDEEE3" w:rsidR="00D2241A" w:rsidRPr="00576E9E" w:rsidRDefault="00D2241A" w:rsidP="00D2241A">
      <w:pPr>
        <w:pStyle w:val="ListParagraph"/>
        <w:numPr>
          <w:ilvl w:val="2"/>
          <w:numId w:val="18"/>
        </w:numPr>
        <w:rPr>
          <w:rFonts w:cs="Arial"/>
          <w:b/>
          <w:bCs/>
          <w:szCs w:val="20"/>
        </w:rPr>
      </w:pPr>
      <w:r w:rsidRPr="00193BD2">
        <w:rPr>
          <w:rFonts w:cs="Arial"/>
          <w:szCs w:val="20"/>
        </w:rPr>
        <w:t xml:space="preserve">Adequate therapeutic 6 month trial of </w:t>
      </w:r>
      <w:r w:rsidRPr="00D2241A">
        <w:rPr>
          <w:rFonts w:cs="Arial"/>
          <w:szCs w:val="20"/>
        </w:rPr>
        <w:t xml:space="preserve">ustekinumab, </w:t>
      </w:r>
      <w:r w:rsidR="00C23633">
        <w:rPr>
          <w:rFonts w:cs="Arial"/>
          <w:szCs w:val="20"/>
        </w:rPr>
        <w:t>criteria for ustekinumab may be found in the</w:t>
      </w:r>
      <w:r w:rsidRPr="00D2241A">
        <w:rPr>
          <w:rFonts w:cs="Arial"/>
          <w:b/>
          <w:bCs/>
          <w:szCs w:val="20"/>
        </w:rPr>
        <w:t xml:space="preserve"> </w:t>
      </w:r>
      <w:r w:rsidR="00912190" w:rsidRPr="0096716A">
        <w:rPr>
          <w:rFonts w:cs="Arial"/>
          <w:szCs w:val="20"/>
        </w:rPr>
        <w:t>Targeted Immune Modulators, IL-23 Inhibitors and IL-23/IL-12 Inhibitors PDL Edit</w:t>
      </w:r>
      <w:r w:rsidR="003F7A30">
        <w:rPr>
          <w:rFonts w:cs="Arial"/>
          <w:szCs w:val="20"/>
        </w:rPr>
        <w:t xml:space="preserve"> located here </w:t>
      </w:r>
      <w:hyperlink r:id="rId11" w:tooltip="https://urldefense.com/v3/__https://mydss.mo.gov/mhd/pharmacy-clinical-edits-pdl__;!!Mh0G0HQJXw!Ftntf4uiw5MU21pklbS14xE_VFdv-QswbQ7Ygqy9IP_XiQhNonJ128hUnwn9QwwCXMNzvL5FA68XQFxs84P4HiFCuNFmnaql$" w:history="1">
        <w:r w:rsidR="003F7A30" w:rsidRPr="003F7A30">
          <w:rPr>
            <w:rStyle w:val="Hyperlink"/>
            <w:rFonts w:cs="Arial"/>
            <w:szCs w:val="20"/>
          </w:rPr>
          <w:t>Pharmacy Clinical Edits and Preferred Drug Lists | mydss.mo.gov</w:t>
        </w:r>
      </w:hyperlink>
      <w:r w:rsidRPr="00E77319">
        <w:rPr>
          <w:rFonts w:cs="Arial"/>
          <w:b/>
          <w:bCs/>
          <w:color w:val="1F497D" w:themeColor="text2"/>
          <w:szCs w:val="20"/>
        </w:rPr>
        <w:t xml:space="preserve">; </w:t>
      </w:r>
      <w:r w:rsidRPr="00576E9E">
        <w:rPr>
          <w:rFonts w:cs="Arial"/>
          <w:b/>
          <w:bCs/>
          <w:szCs w:val="20"/>
        </w:rPr>
        <w:t>AND</w:t>
      </w:r>
    </w:p>
    <w:p w14:paraId="4E80AC19" w14:textId="77777777" w:rsidR="00D2241A" w:rsidRPr="00576E9E" w:rsidRDefault="00D2241A" w:rsidP="00D2241A">
      <w:pPr>
        <w:numPr>
          <w:ilvl w:val="2"/>
          <w:numId w:val="18"/>
        </w:numPr>
        <w:rPr>
          <w:rFonts w:cs="Arial"/>
          <w:szCs w:val="20"/>
        </w:rPr>
      </w:pPr>
      <w:r w:rsidRPr="00576E9E">
        <w:rPr>
          <w:rFonts w:cs="Arial"/>
          <w:szCs w:val="20"/>
        </w:rPr>
        <w:t xml:space="preserve">Documentation of </w:t>
      </w:r>
      <w:proofErr w:type="gramStart"/>
      <w:r w:rsidRPr="00576E9E">
        <w:rPr>
          <w:rFonts w:cs="Arial"/>
          <w:szCs w:val="20"/>
        </w:rPr>
        <w:t>all of</w:t>
      </w:r>
      <w:proofErr w:type="gramEnd"/>
      <w:r w:rsidRPr="00576E9E">
        <w:rPr>
          <w:rFonts w:cs="Arial"/>
          <w:szCs w:val="20"/>
        </w:rPr>
        <w:t xml:space="preserve"> the following prior to therapy:</w:t>
      </w:r>
    </w:p>
    <w:p w14:paraId="39571A3E" w14:textId="77777777" w:rsidR="00D2241A" w:rsidRPr="00576E9E" w:rsidRDefault="00D2241A" w:rsidP="00D2241A">
      <w:pPr>
        <w:numPr>
          <w:ilvl w:val="2"/>
          <w:numId w:val="18"/>
        </w:numPr>
        <w:ind w:left="1440"/>
        <w:rPr>
          <w:rFonts w:cs="Arial"/>
          <w:szCs w:val="20"/>
        </w:rPr>
      </w:pPr>
      <w:r w:rsidRPr="00576E9E">
        <w:rPr>
          <w:rFonts w:cs="Arial"/>
          <w:szCs w:val="20"/>
        </w:rPr>
        <w:t>Complete blood count (CBC) with lymphocytes (within prior 6 months or after discontinuation of prior therapy</w:t>
      </w:r>
      <w:proofErr w:type="gramStart"/>
      <w:r w:rsidRPr="00576E9E">
        <w:rPr>
          <w:rFonts w:cs="Arial"/>
          <w:szCs w:val="20"/>
        </w:rPr>
        <w:t>);</w:t>
      </w:r>
      <w:proofErr w:type="gramEnd"/>
    </w:p>
    <w:p w14:paraId="5D968A39" w14:textId="77777777" w:rsidR="00D2241A" w:rsidRPr="00576E9E" w:rsidRDefault="00D2241A" w:rsidP="00D2241A">
      <w:pPr>
        <w:numPr>
          <w:ilvl w:val="2"/>
          <w:numId w:val="18"/>
        </w:numPr>
        <w:ind w:left="1440"/>
        <w:rPr>
          <w:rFonts w:cs="Arial"/>
          <w:szCs w:val="20"/>
        </w:rPr>
      </w:pPr>
      <w:r w:rsidRPr="00576E9E">
        <w:rPr>
          <w:rFonts w:cs="Arial"/>
          <w:szCs w:val="20"/>
        </w:rPr>
        <w:t xml:space="preserve">Ophthalmic </w:t>
      </w:r>
      <w:proofErr w:type="gramStart"/>
      <w:r w:rsidRPr="00576E9E">
        <w:rPr>
          <w:rFonts w:cs="Arial"/>
          <w:szCs w:val="20"/>
        </w:rPr>
        <w:t>evaluation;</w:t>
      </w:r>
      <w:proofErr w:type="gramEnd"/>
    </w:p>
    <w:p w14:paraId="73419468" w14:textId="77777777" w:rsidR="00D2241A" w:rsidRPr="00576E9E" w:rsidRDefault="00D2241A" w:rsidP="00D2241A">
      <w:pPr>
        <w:numPr>
          <w:ilvl w:val="2"/>
          <w:numId w:val="18"/>
        </w:numPr>
        <w:ind w:left="1440"/>
        <w:rPr>
          <w:rFonts w:cs="Arial"/>
          <w:szCs w:val="20"/>
        </w:rPr>
      </w:pPr>
      <w:proofErr w:type="gramStart"/>
      <w:r w:rsidRPr="00576E9E">
        <w:rPr>
          <w:rFonts w:cs="Arial"/>
          <w:szCs w:val="20"/>
        </w:rPr>
        <w:t>Electrocardiogram;</w:t>
      </w:r>
      <w:proofErr w:type="gramEnd"/>
    </w:p>
    <w:p w14:paraId="35E7429B" w14:textId="77777777" w:rsidR="00D2241A" w:rsidRPr="00576E9E" w:rsidRDefault="00D2241A" w:rsidP="00D2241A">
      <w:pPr>
        <w:numPr>
          <w:ilvl w:val="2"/>
          <w:numId w:val="18"/>
        </w:numPr>
        <w:ind w:left="1440"/>
        <w:rPr>
          <w:rFonts w:cs="Arial"/>
          <w:szCs w:val="20"/>
        </w:rPr>
      </w:pPr>
      <w:r w:rsidRPr="00576E9E">
        <w:rPr>
          <w:rFonts w:cs="Arial"/>
          <w:szCs w:val="20"/>
        </w:rPr>
        <w:t xml:space="preserve">Liver function tests (LFTs) within prior 6 </w:t>
      </w:r>
      <w:proofErr w:type="gramStart"/>
      <w:r w:rsidRPr="00576E9E">
        <w:rPr>
          <w:rFonts w:cs="Arial"/>
          <w:szCs w:val="20"/>
        </w:rPr>
        <w:t>months;</w:t>
      </w:r>
      <w:proofErr w:type="gramEnd"/>
    </w:p>
    <w:p w14:paraId="03F312A6" w14:textId="77777777" w:rsidR="00D2241A" w:rsidRPr="00576E9E" w:rsidRDefault="00D2241A" w:rsidP="00D2241A">
      <w:pPr>
        <w:numPr>
          <w:ilvl w:val="2"/>
          <w:numId w:val="18"/>
        </w:numPr>
        <w:ind w:left="1440"/>
        <w:rPr>
          <w:rFonts w:cs="Arial"/>
          <w:b/>
          <w:bCs/>
          <w:szCs w:val="20"/>
        </w:rPr>
      </w:pPr>
      <w:r w:rsidRPr="00576E9E">
        <w:rPr>
          <w:rFonts w:cs="Arial"/>
          <w:szCs w:val="20"/>
        </w:rPr>
        <w:t>Examination for cutaneous malignancies;</w:t>
      </w:r>
      <w:r w:rsidRPr="00576E9E">
        <w:rPr>
          <w:rFonts w:cs="Arial"/>
          <w:b/>
          <w:bCs/>
          <w:szCs w:val="20"/>
        </w:rPr>
        <w:t xml:space="preserve"> AND</w:t>
      </w:r>
    </w:p>
    <w:p w14:paraId="1F1F11B8" w14:textId="77777777" w:rsidR="00D2241A" w:rsidRPr="00576E9E" w:rsidRDefault="00D2241A" w:rsidP="00D2241A">
      <w:pPr>
        <w:pStyle w:val="ListParagraph"/>
        <w:numPr>
          <w:ilvl w:val="0"/>
          <w:numId w:val="19"/>
        </w:numPr>
        <w:rPr>
          <w:rFonts w:cs="Arial"/>
          <w:szCs w:val="20"/>
        </w:rPr>
      </w:pPr>
      <w:r w:rsidRPr="00576E9E">
        <w:rPr>
          <w:rFonts w:cs="Arial"/>
          <w:szCs w:val="20"/>
        </w:rPr>
        <w:t>Vaccination with varicella zoster vaccine in those who are antibody negative</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5ECA06FC" w14:textId="77777777" w:rsidR="00904D7A" w:rsidRDefault="00904D7A" w:rsidP="00DE2251">
      <w:pPr>
        <w:numPr>
          <w:ilvl w:val="0"/>
          <w:numId w:val="18"/>
        </w:numPr>
        <w:rPr>
          <w:rFonts w:cs="Arial"/>
          <w:szCs w:val="20"/>
        </w:rPr>
      </w:pPr>
      <w:r>
        <w:rPr>
          <w:rFonts w:cs="Arial"/>
          <w:szCs w:val="20"/>
        </w:rPr>
        <w:t>Therapy will deny with presence of one of the following:</w:t>
      </w:r>
    </w:p>
    <w:p w14:paraId="077AD6A1" w14:textId="77777777" w:rsidR="00DE2251" w:rsidRDefault="00904D7A" w:rsidP="00DE2251">
      <w:pPr>
        <w:numPr>
          <w:ilvl w:val="1"/>
          <w:numId w:val="18"/>
        </w:numPr>
        <w:rPr>
          <w:rFonts w:cs="Arial"/>
          <w:szCs w:val="20"/>
        </w:rPr>
      </w:pPr>
      <w:r>
        <w:rPr>
          <w:rFonts w:cs="Arial"/>
          <w:szCs w:val="20"/>
        </w:rPr>
        <w:t xml:space="preserve">Any approval criteria are not </w:t>
      </w:r>
      <w:proofErr w:type="gramStart"/>
      <w:r>
        <w:rPr>
          <w:rFonts w:cs="Arial"/>
          <w:szCs w:val="20"/>
        </w:rPr>
        <w:t>met;</w:t>
      </w:r>
      <w:proofErr w:type="gramEnd"/>
      <w:r>
        <w:rPr>
          <w:rFonts w:cs="Arial"/>
          <w:szCs w:val="20"/>
        </w:rPr>
        <w:t xml:space="preserve"> </w:t>
      </w:r>
    </w:p>
    <w:p w14:paraId="0E88933E" w14:textId="77777777" w:rsidR="00DE2251" w:rsidRPr="00576E9E" w:rsidRDefault="00DE2251" w:rsidP="00DE2251">
      <w:pPr>
        <w:numPr>
          <w:ilvl w:val="1"/>
          <w:numId w:val="18"/>
        </w:numPr>
        <w:rPr>
          <w:rFonts w:cs="Arial"/>
          <w:bCs/>
          <w:szCs w:val="20"/>
        </w:rPr>
      </w:pPr>
      <w:r w:rsidRPr="00576E9E">
        <w:rPr>
          <w:rFonts w:cs="Arial"/>
          <w:bCs/>
          <w:szCs w:val="20"/>
        </w:rPr>
        <w:t>Claim is for Velsipity and any of the following are present:</w:t>
      </w:r>
    </w:p>
    <w:p w14:paraId="28856035" w14:textId="77777777" w:rsidR="00DE2251" w:rsidRPr="00576E9E" w:rsidRDefault="00DE2251" w:rsidP="00DE2251">
      <w:pPr>
        <w:numPr>
          <w:ilvl w:val="2"/>
          <w:numId w:val="18"/>
        </w:numPr>
        <w:rPr>
          <w:rFonts w:cs="Arial"/>
          <w:bCs/>
          <w:szCs w:val="20"/>
        </w:rPr>
      </w:pPr>
      <w:r w:rsidRPr="00576E9E">
        <w:rPr>
          <w:rFonts w:cs="Arial"/>
          <w:bCs/>
          <w:szCs w:val="20"/>
        </w:rPr>
        <w:t xml:space="preserve">Participant is currently </w:t>
      </w:r>
      <w:proofErr w:type="gramStart"/>
      <w:r w:rsidRPr="00576E9E">
        <w:rPr>
          <w:rFonts w:cs="Arial"/>
          <w:bCs/>
          <w:szCs w:val="20"/>
        </w:rPr>
        <w:t>pregnant;</w:t>
      </w:r>
      <w:proofErr w:type="gramEnd"/>
      <w:r w:rsidRPr="00576E9E">
        <w:rPr>
          <w:rFonts w:cs="Arial"/>
          <w:bCs/>
          <w:szCs w:val="20"/>
        </w:rPr>
        <w:t xml:space="preserve"> </w:t>
      </w:r>
    </w:p>
    <w:p w14:paraId="1FC88AF3" w14:textId="77777777" w:rsidR="00904D7A" w:rsidRPr="00576E9E" w:rsidRDefault="00DE2251" w:rsidP="00DE2251">
      <w:pPr>
        <w:numPr>
          <w:ilvl w:val="2"/>
          <w:numId w:val="18"/>
        </w:numPr>
        <w:rPr>
          <w:rFonts w:cs="Arial"/>
          <w:b/>
          <w:szCs w:val="20"/>
        </w:rPr>
      </w:pPr>
      <w:r w:rsidRPr="00576E9E">
        <w:rPr>
          <w:rFonts w:cs="Arial"/>
          <w:bCs/>
          <w:szCs w:val="20"/>
        </w:rPr>
        <w:t>Presence of MI, unstable angina, stroke, TIA, decompensated heart failure (HF) requiring hospitalization, or Class III or IV HF in the past 6 months;</w:t>
      </w:r>
      <w:r w:rsidRPr="00576E9E">
        <w:rPr>
          <w:rFonts w:cs="Arial"/>
          <w:b/>
          <w:szCs w:val="20"/>
        </w:rPr>
        <w:t xml:space="preserve"> </w:t>
      </w:r>
      <w:r w:rsidR="00904D7A" w:rsidRPr="00576E9E">
        <w:rPr>
          <w:rFonts w:cs="Arial"/>
          <w:b/>
          <w:szCs w:val="20"/>
        </w:rPr>
        <w:t>OR</w:t>
      </w:r>
    </w:p>
    <w:p w14:paraId="6B8760DE" w14:textId="77777777" w:rsidR="00DE2251" w:rsidRPr="00576E9E" w:rsidRDefault="00DE2251" w:rsidP="00DE2251">
      <w:pPr>
        <w:numPr>
          <w:ilvl w:val="2"/>
          <w:numId w:val="18"/>
        </w:numPr>
        <w:rPr>
          <w:rFonts w:cs="Arial"/>
          <w:b/>
          <w:szCs w:val="20"/>
        </w:rPr>
      </w:pPr>
      <w:r w:rsidRPr="00576E9E">
        <w:rPr>
          <w:rFonts w:cs="Arial"/>
          <w:bCs/>
          <w:szCs w:val="20"/>
        </w:rPr>
        <w:t xml:space="preserve">Presence of Mobitz type II second-degree, third-degree AV block, or sick sinus syndrome or </w:t>
      </w:r>
      <w:proofErr w:type="spellStart"/>
      <w:r w:rsidRPr="00576E9E">
        <w:rPr>
          <w:rFonts w:cs="Arial"/>
          <w:bCs/>
          <w:szCs w:val="20"/>
        </w:rPr>
        <w:t>sino</w:t>
      </w:r>
      <w:proofErr w:type="spellEnd"/>
      <w:r w:rsidRPr="00576E9E">
        <w:rPr>
          <w:rFonts w:cs="Arial"/>
          <w:bCs/>
          <w:szCs w:val="20"/>
        </w:rPr>
        <w:t xml:space="preserve">-atrial block without a functioning </w:t>
      </w:r>
      <w:proofErr w:type="gramStart"/>
      <w:r w:rsidRPr="00576E9E">
        <w:rPr>
          <w:rFonts w:cs="Arial"/>
          <w:bCs/>
          <w:szCs w:val="20"/>
        </w:rPr>
        <w:t>pacemaker;</w:t>
      </w:r>
      <w:proofErr w:type="gramEnd"/>
      <w:r w:rsidRPr="00576E9E">
        <w:rPr>
          <w:rFonts w:cs="Arial"/>
          <w:b/>
          <w:szCs w:val="20"/>
        </w:rPr>
        <w:t xml:space="preserve"> OR</w:t>
      </w:r>
    </w:p>
    <w:p w14:paraId="439C27A0" w14:textId="77777777" w:rsidR="00DE2251" w:rsidRPr="00AE2D73" w:rsidRDefault="00DE2251" w:rsidP="00DE2251">
      <w:pPr>
        <w:numPr>
          <w:ilvl w:val="1"/>
          <w:numId w:val="18"/>
        </w:numPr>
        <w:rPr>
          <w:rFonts w:cs="Arial"/>
          <w:szCs w:val="20"/>
        </w:rPr>
      </w:pPr>
      <w:r w:rsidRPr="00AE2D73">
        <w:rPr>
          <w:rFonts w:cs="Arial"/>
          <w:szCs w:val="20"/>
        </w:rPr>
        <w:t>Claim exceeds maximum dosing limitations for the following:</w:t>
      </w:r>
    </w:p>
    <w:tbl>
      <w:tblPr>
        <w:tblW w:w="792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2520"/>
        <w:gridCol w:w="1461"/>
        <w:gridCol w:w="69"/>
      </w:tblGrid>
      <w:tr w:rsidR="00DE2251" w:rsidRPr="00AE2D73" w14:paraId="13213B55" w14:textId="77777777" w:rsidTr="00855E3C">
        <w:tc>
          <w:tcPr>
            <w:tcW w:w="3870" w:type="dxa"/>
            <w:shd w:val="clear" w:color="auto" w:fill="FABF8F" w:themeFill="accent6" w:themeFillTint="99"/>
            <w:noWrap/>
            <w:vAlign w:val="bottom"/>
            <w:hideMark/>
          </w:tcPr>
          <w:p w14:paraId="58A8EC15" w14:textId="77777777" w:rsidR="00DE2251" w:rsidRPr="00AE2D73" w:rsidRDefault="00DE2251" w:rsidP="00EE41FB">
            <w:pPr>
              <w:rPr>
                <w:rFonts w:cs="Arial"/>
                <w:b/>
                <w:bCs/>
              </w:rPr>
            </w:pPr>
            <w:bookmarkStart w:id="1" w:name="_Hlk71111140"/>
            <w:r w:rsidRPr="00AE2D73">
              <w:rPr>
                <w:rFonts w:cs="Arial"/>
                <w:b/>
                <w:bCs/>
              </w:rPr>
              <w:t>Drug Description</w:t>
            </w:r>
          </w:p>
        </w:tc>
        <w:tc>
          <w:tcPr>
            <w:tcW w:w="2520" w:type="dxa"/>
            <w:shd w:val="clear" w:color="auto" w:fill="FABF8F" w:themeFill="accent6" w:themeFillTint="99"/>
            <w:vAlign w:val="bottom"/>
          </w:tcPr>
          <w:p w14:paraId="6375BBFE" w14:textId="77777777" w:rsidR="00DE2251" w:rsidRPr="00AE2D73" w:rsidRDefault="00DE2251" w:rsidP="00EE41FB">
            <w:pPr>
              <w:rPr>
                <w:rFonts w:cs="Arial"/>
                <w:b/>
                <w:bCs/>
              </w:rPr>
            </w:pPr>
            <w:r w:rsidRPr="00AE2D73">
              <w:rPr>
                <w:rFonts w:cs="Arial"/>
                <w:b/>
                <w:bCs/>
              </w:rPr>
              <w:t>Generic Equivalent</w:t>
            </w:r>
          </w:p>
        </w:tc>
        <w:tc>
          <w:tcPr>
            <w:tcW w:w="1530" w:type="dxa"/>
            <w:gridSpan w:val="2"/>
            <w:shd w:val="clear" w:color="auto" w:fill="FABF8F" w:themeFill="accent6" w:themeFillTint="99"/>
            <w:vAlign w:val="bottom"/>
          </w:tcPr>
          <w:p w14:paraId="36B9DB5C" w14:textId="77777777" w:rsidR="00DE2251" w:rsidRPr="00AE2D73" w:rsidRDefault="00DE2251" w:rsidP="00EE41FB">
            <w:pPr>
              <w:rPr>
                <w:rFonts w:cs="Arial"/>
                <w:b/>
                <w:bCs/>
              </w:rPr>
            </w:pPr>
            <w:r w:rsidRPr="00AE2D73">
              <w:rPr>
                <w:rFonts w:cs="Arial"/>
                <w:b/>
                <w:bCs/>
              </w:rPr>
              <w:t>Max Unit/Day</w:t>
            </w:r>
          </w:p>
        </w:tc>
      </w:tr>
      <w:tr w:rsidR="00DE2251" w:rsidRPr="00AE2D73" w14:paraId="6D92D7C9" w14:textId="77777777" w:rsidTr="00855E3C">
        <w:trPr>
          <w:gridAfter w:val="1"/>
          <w:wAfter w:w="69" w:type="dxa"/>
        </w:trPr>
        <w:tc>
          <w:tcPr>
            <w:tcW w:w="3870" w:type="dxa"/>
            <w:noWrap/>
            <w:vAlign w:val="bottom"/>
          </w:tcPr>
          <w:p w14:paraId="7CEDD65C" w14:textId="5F9ECAAA" w:rsidR="00DE2251" w:rsidRPr="00CB2C1C" w:rsidRDefault="0054700F" w:rsidP="00EE41FB">
            <w:pPr>
              <w:rPr>
                <w:rFonts w:cs="Arial"/>
              </w:rPr>
            </w:pPr>
            <w:r w:rsidRPr="00CB2C1C">
              <w:rPr>
                <w:rFonts w:cs="Arial"/>
              </w:rPr>
              <w:t>MESALAMINE</w:t>
            </w:r>
            <w:r w:rsidR="00DE2251" w:rsidRPr="00CB2C1C">
              <w:rPr>
                <w:rFonts w:cs="Arial"/>
              </w:rPr>
              <w:t xml:space="preserve"> ER 0.375 GM CAPSULE</w:t>
            </w:r>
          </w:p>
        </w:tc>
        <w:tc>
          <w:tcPr>
            <w:tcW w:w="2520" w:type="dxa"/>
            <w:vAlign w:val="bottom"/>
          </w:tcPr>
          <w:p w14:paraId="4B458740" w14:textId="77777777" w:rsidR="00DE2251" w:rsidRPr="00AE2D73" w:rsidRDefault="00DE2251" w:rsidP="00EE41FB">
            <w:pPr>
              <w:rPr>
                <w:rFonts w:cs="Arial"/>
              </w:rPr>
            </w:pPr>
            <w:r w:rsidRPr="00AE2D73">
              <w:rPr>
                <w:rFonts w:cs="Arial"/>
              </w:rPr>
              <w:t>MESALAMINE</w:t>
            </w:r>
          </w:p>
        </w:tc>
        <w:tc>
          <w:tcPr>
            <w:tcW w:w="1461" w:type="dxa"/>
            <w:vAlign w:val="bottom"/>
          </w:tcPr>
          <w:p w14:paraId="45627798" w14:textId="77777777" w:rsidR="00DE2251" w:rsidRPr="00AE2D73" w:rsidRDefault="00DE2251" w:rsidP="00EE41FB">
            <w:pPr>
              <w:rPr>
                <w:rFonts w:cs="Arial"/>
              </w:rPr>
            </w:pPr>
            <w:r w:rsidRPr="00AE2D73">
              <w:rPr>
                <w:rFonts w:cs="Arial"/>
              </w:rPr>
              <w:t>4 capsules</w:t>
            </w:r>
          </w:p>
        </w:tc>
      </w:tr>
      <w:tr w:rsidR="00DE2251" w:rsidRPr="00AE2D73" w14:paraId="119A75CE" w14:textId="77777777" w:rsidTr="00855E3C">
        <w:trPr>
          <w:gridAfter w:val="1"/>
          <w:wAfter w:w="69" w:type="dxa"/>
        </w:trPr>
        <w:tc>
          <w:tcPr>
            <w:tcW w:w="3870" w:type="dxa"/>
            <w:noWrap/>
            <w:vAlign w:val="bottom"/>
          </w:tcPr>
          <w:p w14:paraId="356D247E" w14:textId="77777777" w:rsidR="00DE2251" w:rsidRPr="00CB2C1C" w:rsidRDefault="00DE2251" w:rsidP="00EE41FB">
            <w:pPr>
              <w:rPr>
                <w:rFonts w:cs="Arial"/>
              </w:rPr>
            </w:pPr>
            <w:r w:rsidRPr="00CB2C1C">
              <w:rPr>
                <w:rFonts w:cs="Arial"/>
              </w:rPr>
              <w:t>ASACOL HD DR 800 MG TABLET</w:t>
            </w:r>
          </w:p>
        </w:tc>
        <w:tc>
          <w:tcPr>
            <w:tcW w:w="2520" w:type="dxa"/>
            <w:vAlign w:val="bottom"/>
          </w:tcPr>
          <w:p w14:paraId="371DD3F6" w14:textId="77777777" w:rsidR="00DE2251" w:rsidRPr="00AE2D73" w:rsidRDefault="00DE2251" w:rsidP="00EE41FB">
            <w:pPr>
              <w:rPr>
                <w:rFonts w:cs="Arial"/>
              </w:rPr>
            </w:pPr>
            <w:r w:rsidRPr="00AE2D73">
              <w:rPr>
                <w:rFonts w:cs="Arial"/>
              </w:rPr>
              <w:t>MESALAMINE</w:t>
            </w:r>
          </w:p>
        </w:tc>
        <w:tc>
          <w:tcPr>
            <w:tcW w:w="1461" w:type="dxa"/>
            <w:vAlign w:val="bottom"/>
          </w:tcPr>
          <w:p w14:paraId="0E594436" w14:textId="77777777" w:rsidR="00DE2251" w:rsidRPr="00AE2D73" w:rsidRDefault="00DE2251" w:rsidP="00EE41FB">
            <w:pPr>
              <w:rPr>
                <w:rFonts w:cs="Arial"/>
              </w:rPr>
            </w:pPr>
            <w:r w:rsidRPr="00AE2D73">
              <w:rPr>
                <w:rFonts w:cs="Arial"/>
              </w:rPr>
              <w:t>6 tablets</w:t>
            </w:r>
          </w:p>
        </w:tc>
      </w:tr>
      <w:tr w:rsidR="00DE2251" w:rsidRPr="00AE2D73" w14:paraId="21B34769" w14:textId="77777777" w:rsidTr="00855E3C">
        <w:trPr>
          <w:gridAfter w:val="1"/>
          <w:wAfter w:w="69" w:type="dxa"/>
        </w:trPr>
        <w:tc>
          <w:tcPr>
            <w:tcW w:w="3870" w:type="dxa"/>
            <w:noWrap/>
            <w:vAlign w:val="bottom"/>
          </w:tcPr>
          <w:p w14:paraId="6DA61D6D" w14:textId="77777777" w:rsidR="00DE2251" w:rsidRPr="00CB2C1C" w:rsidRDefault="00DE2251" w:rsidP="00EE41FB">
            <w:pPr>
              <w:rPr>
                <w:rFonts w:cs="Arial"/>
              </w:rPr>
            </w:pPr>
            <w:r w:rsidRPr="00CB2C1C">
              <w:rPr>
                <w:rFonts w:cs="Arial"/>
              </w:rPr>
              <w:t>AZULFIDINE 500 MG TABLET</w:t>
            </w:r>
          </w:p>
        </w:tc>
        <w:tc>
          <w:tcPr>
            <w:tcW w:w="2520" w:type="dxa"/>
            <w:vAlign w:val="bottom"/>
          </w:tcPr>
          <w:p w14:paraId="18C3C447" w14:textId="77777777" w:rsidR="00DE2251" w:rsidRPr="00AE2D73" w:rsidRDefault="00DE2251" w:rsidP="00EE41FB">
            <w:pPr>
              <w:rPr>
                <w:rFonts w:cs="Arial"/>
              </w:rPr>
            </w:pPr>
            <w:r w:rsidRPr="00AE2D73">
              <w:rPr>
                <w:rFonts w:cs="Arial"/>
              </w:rPr>
              <w:t xml:space="preserve">SULFASALAZINE </w:t>
            </w:r>
          </w:p>
        </w:tc>
        <w:tc>
          <w:tcPr>
            <w:tcW w:w="1461" w:type="dxa"/>
            <w:vAlign w:val="bottom"/>
          </w:tcPr>
          <w:p w14:paraId="294D9E01" w14:textId="77777777" w:rsidR="00DE2251" w:rsidRPr="00AE2D73" w:rsidRDefault="00DE2251" w:rsidP="00EE41FB">
            <w:pPr>
              <w:rPr>
                <w:rFonts w:cs="Arial"/>
              </w:rPr>
            </w:pPr>
            <w:r w:rsidRPr="00AE2D73">
              <w:rPr>
                <w:rFonts w:cs="Arial"/>
              </w:rPr>
              <w:t>8 tablets</w:t>
            </w:r>
          </w:p>
        </w:tc>
      </w:tr>
      <w:tr w:rsidR="00DE2251" w:rsidRPr="00AE2D73" w14:paraId="6E35A64F" w14:textId="77777777" w:rsidTr="00855E3C">
        <w:trPr>
          <w:gridAfter w:val="1"/>
          <w:wAfter w:w="69" w:type="dxa"/>
        </w:trPr>
        <w:tc>
          <w:tcPr>
            <w:tcW w:w="3870" w:type="dxa"/>
            <w:noWrap/>
            <w:vAlign w:val="bottom"/>
          </w:tcPr>
          <w:p w14:paraId="75C73FB6" w14:textId="77777777" w:rsidR="00DE2251" w:rsidRPr="00CB2C1C" w:rsidRDefault="00DE2251" w:rsidP="00EE41FB">
            <w:pPr>
              <w:rPr>
                <w:rFonts w:cs="Arial"/>
              </w:rPr>
            </w:pPr>
            <w:r w:rsidRPr="00CB2C1C">
              <w:rPr>
                <w:rFonts w:cs="Arial"/>
              </w:rPr>
              <w:t>AZULFIDINE ENTAB 500 MG</w:t>
            </w:r>
          </w:p>
        </w:tc>
        <w:tc>
          <w:tcPr>
            <w:tcW w:w="2520" w:type="dxa"/>
            <w:vAlign w:val="bottom"/>
          </w:tcPr>
          <w:p w14:paraId="77E42EA3" w14:textId="77777777" w:rsidR="00DE2251" w:rsidRPr="00AE2D73" w:rsidRDefault="00DE2251" w:rsidP="00EE41FB">
            <w:pPr>
              <w:rPr>
                <w:rFonts w:cs="Arial"/>
              </w:rPr>
            </w:pPr>
            <w:r w:rsidRPr="00AE2D73">
              <w:rPr>
                <w:rFonts w:cs="Arial"/>
              </w:rPr>
              <w:t xml:space="preserve">SULFASALAZINE </w:t>
            </w:r>
          </w:p>
        </w:tc>
        <w:tc>
          <w:tcPr>
            <w:tcW w:w="1461" w:type="dxa"/>
            <w:vAlign w:val="bottom"/>
          </w:tcPr>
          <w:p w14:paraId="07DE176F" w14:textId="77777777" w:rsidR="00DE2251" w:rsidRPr="00AE2D73" w:rsidRDefault="00DE2251" w:rsidP="00EE41FB">
            <w:pPr>
              <w:rPr>
                <w:rFonts w:cs="Arial"/>
              </w:rPr>
            </w:pPr>
            <w:r w:rsidRPr="00AE2D73">
              <w:rPr>
                <w:rFonts w:cs="Arial"/>
              </w:rPr>
              <w:t>8 tablets</w:t>
            </w:r>
          </w:p>
        </w:tc>
      </w:tr>
      <w:tr w:rsidR="00DE2251" w:rsidRPr="00AE2D73" w14:paraId="29032D2F" w14:textId="77777777" w:rsidTr="00855E3C">
        <w:trPr>
          <w:gridAfter w:val="1"/>
          <w:wAfter w:w="69" w:type="dxa"/>
        </w:trPr>
        <w:tc>
          <w:tcPr>
            <w:tcW w:w="3870" w:type="dxa"/>
            <w:noWrap/>
            <w:vAlign w:val="bottom"/>
          </w:tcPr>
          <w:p w14:paraId="1B3A0C41" w14:textId="5F5D7AFE" w:rsidR="00DE2251" w:rsidRPr="00CB2C1C" w:rsidRDefault="003A4443" w:rsidP="00EE41FB">
            <w:pPr>
              <w:rPr>
                <w:rFonts w:cs="Arial"/>
              </w:rPr>
            </w:pPr>
            <w:r w:rsidRPr="00CB2C1C">
              <w:rPr>
                <w:rFonts w:cs="Arial"/>
              </w:rPr>
              <w:t xml:space="preserve">BALSALAZIDE </w:t>
            </w:r>
            <w:r w:rsidR="00DE2251" w:rsidRPr="00CB2C1C">
              <w:rPr>
                <w:rFonts w:cs="Arial"/>
              </w:rPr>
              <w:t>750 MG CAPSULE</w:t>
            </w:r>
          </w:p>
        </w:tc>
        <w:tc>
          <w:tcPr>
            <w:tcW w:w="2520" w:type="dxa"/>
            <w:vAlign w:val="bottom"/>
          </w:tcPr>
          <w:p w14:paraId="1CF4CE4A" w14:textId="77777777" w:rsidR="00DE2251" w:rsidRPr="00AE2D73" w:rsidRDefault="00DE2251" w:rsidP="00EE41FB">
            <w:pPr>
              <w:rPr>
                <w:rFonts w:cs="Arial"/>
              </w:rPr>
            </w:pPr>
            <w:r w:rsidRPr="00AE2D73">
              <w:rPr>
                <w:rFonts w:cs="Arial"/>
              </w:rPr>
              <w:t>BALSALAZIDE</w:t>
            </w:r>
          </w:p>
        </w:tc>
        <w:tc>
          <w:tcPr>
            <w:tcW w:w="1461" w:type="dxa"/>
            <w:vAlign w:val="bottom"/>
          </w:tcPr>
          <w:p w14:paraId="769ABAF5" w14:textId="77777777" w:rsidR="00DE2251" w:rsidRPr="00AE2D73" w:rsidRDefault="00DE2251" w:rsidP="00EE41FB">
            <w:pPr>
              <w:rPr>
                <w:rFonts w:cs="Arial"/>
              </w:rPr>
            </w:pPr>
            <w:r w:rsidRPr="00AE2D73">
              <w:rPr>
                <w:rFonts w:cs="Arial"/>
              </w:rPr>
              <w:t>9 capsules</w:t>
            </w:r>
          </w:p>
        </w:tc>
      </w:tr>
      <w:tr w:rsidR="00DE2251" w:rsidRPr="00AE2D73" w14:paraId="7BE9122A" w14:textId="77777777" w:rsidTr="00855E3C">
        <w:trPr>
          <w:gridAfter w:val="1"/>
          <w:wAfter w:w="69" w:type="dxa"/>
        </w:trPr>
        <w:tc>
          <w:tcPr>
            <w:tcW w:w="3870" w:type="dxa"/>
            <w:noWrap/>
            <w:vAlign w:val="bottom"/>
          </w:tcPr>
          <w:p w14:paraId="79E9385E" w14:textId="4FADFDAA" w:rsidR="00DE2251" w:rsidRPr="00CB2C1C" w:rsidRDefault="003A4443" w:rsidP="00EE41FB">
            <w:pPr>
              <w:rPr>
                <w:rFonts w:cs="Arial"/>
              </w:rPr>
            </w:pPr>
            <w:r w:rsidRPr="00CB2C1C">
              <w:rPr>
                <w:rFonts w:cs="Arial"/>
              </w:rPr>
              <w:lastRenderedPageBreak/>
              <w:t xml:space="preserve">MESALAMINE </w:t>
            </w:r>
            <w:r w:rsidR="00DE2251" w:rsidRPr="00CB2C1C">
              <w:rPr>
                <w:rFonts w:cs="Arial"/>
              </w:rPr>
              <w:t>DR 400 MG CAPSULE</w:t>
            </w:r>
          </w:p>
        </w:tc>
        <w:tc>
          <w:tcPr>
            <w:tcW w:w="2520" w:type="dxa"/>
            <w:vAlign w:val="bottom"/>
          </w:tcPr>
          <w:p w14:paraId="03245541" w14:textId="77777777" w:rsidR="00DE2251" w:rsidRPr="00AE2D73" w:rsidRDefault="00DE2251" w:rsidP="00EE41FB">
            <w:pPr>
              <w:rPr>
                <w:rFonts w:cs="Arial"/>
              </w:rPr>
            </w:pPr>
            <w:r w:rsidRPr="00AE2D73">
              <w:rPr>
                <w:rFonts w:cs="Arial"/>
              </w:rPr>
              <w:t>MESALAMINE</w:t>
            </w:r>
          </w:p>
        </w:tc>
        <w:tc>
          <w:tcPr>
            <w:tcW w:w="1461" w:type="dxa"/>
            <w:vAlign w:val="bottom"/>
          </w:tcPr>
          <w:p w14:paraId="23E74FB1" w14:textId="77777777" w:rsidR="00DE2251" w:rsidRPr="00AE2D73" w:rsidRDefault="00DE2251" w:rsidP="00EE41FB">
            <w:pPr>
              <w:rPr>
                <w:rFonts w:cs="Arial"/>
              </w:rPr>
            </w:pPr>
            <w:r w:rsidRPr="00AE2D73">
              <w:rPr>
                <w:rFonts w:cs="Arial"/>
              </w:rPr>
              <w:t>6 capsules</w:t>
            </w:r>
          </w:p>
        </w:tc>
      </w:tr>
      <w:tr w:rsidR="00DE2251" w:rsidRPr="00AE2D73" w14:paraId="0529A98B" w14:textId="77777777" w:rsidTr="00855E3C">
        <w:trPr>
          <w:gridAfter w:val="1"/>
          <w:wAfter w:w="69" w:type="dxa"/>
        </w:trPr>
        <w:tc>
          <w:tcPr>
            <w:tcW w:w="3870" w:type="dxa"/>
            <w:noWrap/>
            <w:vAlign w:val="bottom"/>
          </w:tcPr>
          <w:p w14:paraId="376AD66F" w14:textId="77777777" w:rsidR="00DE2251" w:rsidRPr="00CB2C1C" w:rsidRDefault="00DE2251" w:rsidP="00EE41FB">
            <w:pPr>
              <w:rPr>
                <w:rFonts w:cs="Arial"/>
              </w:rPr>
            </w:pPr>
            <w:r w:rsidRPr="00CB2C1C">
              <w:rPr>
                <w:rFonts w:cs="Arial"/>
              </w:rPr>
              <w:t>DIPENTUM 250 MG CAPSULE</w:t>
            </w:r>
          </w:p>
        </w:tc>
        <w:tc>
          <w:tcPr>
            <w:tcW w:w="2520" w:type="dxa"/>
            <w:vAlign w:val="bottom"/>
          </w:tcPr>
          <w:p w14:paraId="18B13FDC" w14:textId="77777777" w:rsidR="00DE2251" w:rsidRPr="00AE2D73" w:rsidRDefault="00DE2251" w:rsidP="00EE41FB">
            <w:pPr>
              <w:rPr>
                <w:rFonts w:cs="Arial"/>
              </w:rPr>
            </w:pPr>
            <w:r w:rsidRPr="00AE2D73">
              <w:rPr>
                <w:rFonts w:cs="Arial"/>
              </w:rPr>
              <w:t>OLSALAZINE</w:t>
            </w:r>
          </w:p>
        </w:tc>
        <w:tc>
          <w:tcPr>
            <w:tcW w:w="1461" w:type="dxa"/>
            <w:vAlign w:val="bottom"/>
          </w:tcPr>
          <w:p w14:paraId="62EBA519" w14:textId="77777777" w:rsidR="00DE2251" w:rsidRPr="00AE2D73" w:rsidRDefault="00DE2251" w:rsidP="00EE41FB">
            <w:pPr>
              <w:rPr>
                <w:rFonts w:cs="Arial"/>
              </w:rPr>
            </w:pPr>
            <w:r w:rsidRPr="00AE2D73">
              <w:rPr>
                <w:rFonts w:cs="Arial"/>
              </w:rPr>
              <w:t>2 capsules</w:t>
            </w:r>
          </w:p>
        </w:tc>
      </w:tr>
      <w:tr w:rsidR="00DE2251" w:rsidRPr="00AE2D73" w14:paraId="4E5EE216" w14:textId="77777777" w:rsidTr="00855E3C">
        <w:trPr>
          <w:gridAfter w:val="1"/>
          <w:wAfter w:w="69" w:type="dxa"/>
        </w:trPr>
        <w:tc>
          <w:tcPr>
            <w:tcW w:w="3870" w:type="dxa"/>
            <w:noWrap/>
            <w:vAlign w:val="bottom"/>
          </w:tcPr>
          <w:p w14:paraId="2A59FDD5" w14:textId="77777777" w:rsidR="00DE2251" w:rsidRPr="00CB2C1C" w:rsidRDefault="00DE2251" w:rsidP="00EE41FB">
            <w:pPr>
              <w:rPr>
                <w:rFonts w:cs="Arial"/>
              </w:rPr>
            </w:pPr>
            <w:r w:rsidRPr="00CB2C1C">
              <w:rPr>
                <w:rFonts w:cs="Arial"/>
              </w:rPr>
              <w:t>LIALDA DR 1.2 GM TABLET</w:t>
            </w:r>
          </w:p>
        </w:tc>
        <w:tc>
          <w:tcPr>
            <w:tcW w:w="2520" w:type="dxa"/>
            <w:vAlign w:val="bottom"/>
          </w:tcPr>
          <w:p w14:paraId="596BA108" w14:textId="77777777" w:rsidR="00DE2251" w:rsidRPr="00AE2D73" w:rsidRDefault="00DE2251" w:rsidP="00EE41FB">
            <w:pPr>
              <w:rPr>
                <w:rFonts w:cs="Arial"/>
              </w:rPr>
            </w:pPr>
            <w:r w:rsidRPr="00AE2D73">
              <w:rPr>
                <w:rFonts w:cs="Arial"/>
              </w:rPr>
              <w:t>MESALAMINE</w:t>
            </w:r>
          </w:p>
        </w:tc>
        <w:tc>
          <w:tcPr>
            <w:tcW w:w="1461" w:type="dxa"/>
            <w:vAlign w:val="bottom"/>
          </w:tcPr>
          <w:p w14:paraId="110D82C8" w14:textId="77777777" w:rsidR="00DE2251" w:rsidRPr="00AE2D73" w:rsidRDefault="00DE2251" w:rsidP="00EE41FB">
            <w:pPr>
              <w:rPr>
                <w:rFonts w:cs="Arial"/>
              </w:rPr>
            </w:pPr>
            <w:r w:rsidRPr="00AE2D73">
              <w:rPr>
                <w:rFonts w:cs="Arial"/>
              </w:rPr>
              <w:t>4 tablets</w:t>
            </w:r>
          </w:p>
        </w:tc>
      </w:tr>
      <w:tr w:rsidR="00DE2251" w:rsidRPr="00AE2D73" w14:paraId="69B87087" w14:textId="77777777" w:rsidTr="00855E3C">
        <w:trPr>
          <w:gridAfter w:val="1"/>
          <w:wAfter w:w="69" w:type="dxa"/>
        </w:trPr>
        <w:tc>
          <w:tcPr>
            <w:tcW w:w="3870" w:type="dxa"/>
            <w:noWrap/>
            <w:vAlign w:val="bottom"/>
          </w:tcPr>
          <w:p w14:paraId="29143F02" w14:textId="77777777" w:rsidR="00DE2251" w:rsidRPr="00CB2C1C" w:rsidRDefault="00DE2251" w:rsidP="00EE41FB">
            <w:pPr>
              <w:rPr>
                <w:rFonts w:cs="Arial"/>
              </w:rPr>
            </w:pPr>
            <w:r w:rsidRPr="00CB2C1C">
              <w:rPr>
                <w:rFonts w:cs="Arial"/>
              </w:rPr>
              <w:t>PENTASA 250 MG CAPSULE</w:t>
            </w:r>
          </w:p>
        </w:tc>
        <w:tc>
          <w:tcPr>
            <w:tcW w:w="2520" w:type="dxa"/>
            <w:vAlign w:val="bottom"/>
          </w:tcPr>
          <w:p w14:paraId="08C2017A" w14:textId="77777777" w:rsidR="00DE2251" w:rsidRPr="00102747" w:rsidRDefault="00DE2251" w:rsidP="00EE41FB">
            <w:pPr>
              <w:rPr>
                <w:rFonts w:cs="Arial"/>
                <w:highlight w:val="yellow"/>
              </w:rPr>
            </w:pPr>
            <w:r w:rsidRPr="00AE2D73">
              <w:rPr>
                <w:rFonts w:cs="Arial"/>
              </w:rPr>
              <w:t>MESALAMINE</w:t>
            </w:r>
          </w:p>
        </w:tc>
        <w:tc>
          <w:tcPr>
            <w:tcW w:w="1461" w:type="dxa"/>
            <w:vAlign w:val="bottom"/>
          </w:tcPr>
          <w:p w14:paraId="15BF5F51" w14:textId="77777777" w:rsidR="00DE2251" w:rsidRPr="00102747" w:rsidRDefault="00DE2251" w:rsidP="00EE41FB">
            <w:pPr>
              <w:rPr>
                <w:rFonts w:cs="Arial"/>
                <w:highlight w:val="yellow"/>
              </w:rPr>
            </w:pPr>
            <w:r w:rsidRPr="00AE2D73">
              <w:rPr>
                <w:rFonts w:cs="Arial"/>
              </w:rPr>
              <w:t>8 capsules</w:t>
            </w:r>
          </w:p>
        </w:tc>
      </w:tr>
      <w:tr w:rsidR="00DE2251" w:rsidRPr="00AE2D73" w14:paraId="461FB6B9" w14:textId="77777777" w:rsidTr="00855E3C">
        <w:trPr>
          <w:gridAfter w:val="1"/>
          <w:wAfter w:w="69" w:type="dxa"/>
        </w:trPr>
        <w:tc>
          <w:tcPr>
            <w:tcW w:w="3870" w:type="dxa"/>
            <w:noWrap/>
            <w:vAlign w:val="bottom"/>
          </w:tcPr>
          <w:p w14:paraId="63C1DD88" w14:textId="77777777" w:rsidR="00DE2251" w:rsidRPr="00CB2C1C" w:rsidRDefault="00DE2251" w:rsidP="00EE41FB">
            <w:pPr>
              <w:rPr>
                <w:rFonts w:cs="Arial"/>
              </w:rPr>
            </w:pPr>
            <w:r w:rsidRPr="00CB2C1C">
              <w:rPr>
                <w:rFonts w:cs="Arial"/>
              </w:rPr>
              <w:t>PENTASA 500 MG CAPSULE</w:t>
            </w:r>
          </w:p>
        </w:tc>
        <w:tc>
          <w:tcPr>
            <w:tcW w:w="2520" w:type="dxa"/>
            <w:vAlign w:val="bottom"/>
          </w:tcPr>
          <w:p w14:paraId="1F5C993A" w14:textId="77777777" w:rsidR="00DE2251" w:rsidRPr="00AE2D73" w:rsidRDefault="00DE2251" w:rsidP="00EE41FB">
            <w:pPr>
              <w:rPr>
                <w:rFonts w:cs="Arial"/>
              </w:rPr>
            </w:pPr>
            <w:r w:rsidRPr="00AE2D73">
              <w:rPr>
                <w:rFonts w:cs="Arial"/>
              </w:rPr>
              <w:t>MESALAMINE</w:t>
            </w:r>
          </w:p>
        </w:tc>
        <w:tc>
          <w:tcPr>
            <w:tcW w:w="1461" w:type="dxa"/>
            <w:vAlign w:val="bottom"/>
          </w:tcPr>
          <w:p w14:paraId="3E6F1259" w14:textId="77777777" w:rsidR="00DE2251" w:rsidRPr="00AE2D73" w:rsidRDefault="00DE2251" w:rsidP="00EE41FB">
            <w:pPr>
              <w:rPr>
                <w:rFonts w:cs="Arial"/>
              </w:rPr>
            </w:pPr>
            <w:r w:rsidRPr="00AE2D73">
              <w:rPr>
                <w:rFonts w:cs="Arial"/>
              </w:rPr>
              <w:t>8 capsules</w:t>
            </w:r>
          </w:p>
        </w:tc>
      </w:tr>
      <w:tr w:rsidR="00DE2251" w:rsidRPr="00AE2D73" w14:paraId="6EBC4DA5" w14:textId="77777777" w:rsidTr="00855E3C">
        <w:trPr>
          <w:gridAfter w:val="1"/>
          <w:wAfter w:w="69" w:type="dxa"/>
        </w:trPr>
        <w:tc>
          <w:tcPr>
            <w:tcW w:w="3870" w:type="dxa"/>
            <w:noWrap/>
            <w:vAlign w:val="bottom"/>
          </w:tcPr>
          <w:p w14:paraId="49B1C19B" w14:textId="18BC7B88" w:rsidR="00DE2251" w:rsidRPr="00CB2C1C" w:rsidRDefault="003A4443" w:rsidP="00EE41FB">
            <w:pPr>
              <w:rPr>
                <w:rFonts w:cs="Arial"/>
              </w:rPr>
            </w:pPr>
            <w:r w:rsidRPr="00CB2C1C">
              <w:rPr>
                <w:rFonts w:cs="Arial"/>
              </w:rPr>
              <w:t xml:space="preserve">BUDESONIDE </w:t>
            </w:r>
            <w:r w:rsidR="00DE2251" w:rsidRPr="00CB2C1C">
              <w:rPr>
                <w:rFonts w:cs="Arial"/>
              </w:rPr>
              <w:t>9 MG ER TABLET</w:t>
            </w:r>
          </w:p>
        </w:tc>
        <w:tc>
          <w:tcPr>
            <w:tcW w:w="2520" w:type="dxa"/>
            <w:vAlign w:val="bottom"/>
          </w:tcPr>
          <w:p w14:paraId="435D2E73" w14:textId="77777777" w:rsidR="00DE2251" w:rsidRPr="00AE2D73" w:rsidRDefault="00DE2251" w:rsidP="00EE41FB">
            <w:pPr>
              <w:rPr>
                <w:rFonts w:cs="Arial"/>
              </w:rPr>
            </w:pPr>
            <w:r w:rsidRPr="00AE2D73">
              <w:rPr>
                <w:rFonts w:cs="Arial"/>
              </w:rPr>
              <w:t>BUDESONIDE</w:t>
            </w:r>
          </w:p>
        </w:tc>
        <w:tc>
          <w:tcPr>
            <w:tcW w:w="1461" w:type="dxa"/>
            <w:vAlign w:val="bottom"/>
          </w:tcPr>
          <w:p w14:paraId="68CBD521" w14:textId="77777777" w:rsidR="00DE2251" w:rsidRPr="00AE2D73" w:rsidRDefault="00DE2251" w:rsidP="00EE41FB">
            <w:pPr>
              <w:rPr>
                <w:rFonts w:cs="Arial"/>
              </w:rPr>
            </w:pPr>
            <w:r w:rsidRPr="00AE2D73">
              <w:rPr>
                <w:rFonts w:cs="Arial"/>
              </w:rPr>
              <w:t>1 tablet</w:t>
            </w:r>
          </w:p>
        </w:tc>
      </w:tr>
      <w:tr w:rsidR="00DE2251" w:rsidRPr="00AE2D73" w14:paraId="79AEAF8B" w14:textId="77777777" w:rsidTr="00855E3C">
        <w:trPr>
          <w:gridAfter w:val="1"/>
          <w:wAfter w:w="69" w:type="dxa"/>
        </w:trPr>
        <w:tc>
          <w:tcPr>
            <w:tcW w:w="3870" w:type="dxa"/>
            <w:noWrap/>
            <w:vAlign w:val="center"/>
          </w:tcPr>
          <w:p w14:paraId="48FB9A0B" w14:textId="77777777" w:rsidR="00DE2251" w:rsidRPr="00576E9E" w:rsidRDefault="00DE2251" w:rsidP="00EE41FB">
            <w:pPr>
              <w:rPr>
                <w:rFonts w:cs="Arial"/>
              </w:rPr>
            </w:pPr>
            <w:r w:rsidRPr="00576E9E">
              <w:rPr>
                <w:rFonts w:cs="Arial"/>
                <w:szCs w:val="20"/>
              </w:rPr>
              <w:t>VELSIPITY 2 MG TABLET</w:t>
            </w:r>
          </w:p>
        </w:tc>
        <w:tc>
          <w:tcPr>
            <w:tcW w:w="2520" w:type="dxa"/>
            <w:vAlign w:val="center"/>
          </w:tcPr>
          <w:p w14:paraId="77516F6F" w14:textId="77777777" w:rsidR="00DE2251" w:rsidRPr="00576E9E" w:rsidRDefault="00DE2251" w:rsidP="00EE41FB">
            <w:pPr>
              <w:rPr>
                <w:rFonts w:cs="Arial"/>
              </w:rPr>
            </w:pPr>
            <w:r w:rsidRPr="00576E9E">
              <w:rPr>
                <w:rFonts w:cs="Arial"/>
                <w:szCs w:val="20"/>
              </w:rPr>
              <w:t>ETRASIMOD ARGININE</w:t>
            </w:r>
          </w:p>
        </w:tc>
        <w:tc>
          <w:tcPr>
            <w:tcW w:w="1461" w:type="dxa"/>
            <w:vAlign w:val="bottom"/>
          </w:tcPr>
          <w:p w14:paraId="0A2CF48E" w14:textId="77777777" w:rsidR="00DE2251" w:rsidRPr="00576E9E" w:rsidRDefault="00DE2251" w:rsidP="00EE41FB">
            <w:pPr>
              <w:rPr>
                <w:rFonts w:cs="Arial"/>
              </w:rPr>
            </w:pPr>
            <w:r w:rsidRPr="00576E9E">
              <w:rPr>
                <w:rFonts w:cs="Arial"/>
              </w:rPr>
              <w:t>1 tablet</w:t>
            </w:r>
          </w:p>
        </w:tc>
      </w:tr>
      <w:bookmarkEnd w:id="1"/>
    </w:tbl>
    <w:p w14:paraId="4D21EAF1" w14:textId="77777777" w:rsidR="001E4CBA" w:rsidRPr="002C2C41" w:rsidRDefault="001E4CBA" w:rsidP="001C73B1">
      <w:pPr>
        <w:pStyle w:val="ListParagraph"/>
        <w:numPr>
          <w:ilvl w:val="0"/>
          <w:numId w:val="0"/>
        </w:numPr>
        <w:ind w:left="360"/>
        <w:rPr>
          <w:rFonts w:cs="Arial"/>
          <w:szCs w:val="22"/>
        </w:rPr>
      </w:pPr>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26CF1FDC" w14:textId="77777777" w:rsidR="004D5F07" w:rsidRPr="005C58B6" w:rsidRDefault="004D5F07" w:rsidP="004D5F07">
      <w:pPr>
        <w:pStyle w:val="ListParagraph"/>
        <w:numPr>
          <w:ilvl w:val="0"/>
          <w:numId w:val="20"/>
        </w:numPr>
        <w:rPr>
          <w:rFonts w:cs="Arial"/>
          <w:szCs w:val="20"/>
        </w:rPr>
      </w:pPr>
      <w:r w:rsidRPr="005C58B6">
        <w:rPr>
          <w:rFonts w:cs="Arial"/>
          <w:szCs w:val="20"/>
        </w:rPr>
        <w:t xml:space="preserve">Evidence-Based Medicine and Fiscal Analysis: “Therapeutic Class Review: GASTROINTESTINAL: </w:t>
      </w:r>
      <w:r>
        <w:rPr>
          <w:rFonts w:cs="Arial"/>
          <w:szCs w:val="20"/>
        </w:rPr>
        <w:t xml:space="preserve">IBD </w:t>
      </w:r>
      <w:r w:rsidRPr="005C58B6">
        <w:rPr>
          <w:rFonts w:cs="Arial"/>
          <w:szCs w:val="20"/>
        </w:rPr>
        <w:t xml:space="preserve">Agents, Oral”, Gainwell Technologies; Last updated February </w:t>
      </w:r>
      <w:r>
        <w:rPr>
          <w:rFonts w:cs="Arial"/>
          <w:szCs w:val="20"/>
        </w:rPr>
        <w:t>25</w:t>
      </w:r>
      <w:r w:rsidRPr="005C58B6">
        <w:rPr>
          <w:rFonts w:cs="Arial"/>
          <w:szCs w:val="20"/>
        </w:rPr>
        <w:t>, 202</w:t>
      </w:r>
      <w:r>
        <w:rPr>
          <w:rFonts w:cs="Arial"/>
          <w:szCs w:val="20"/>
        </w:rPr>
        <w:t>5</w:t>
      </w:r>
      <w:r w:rsidRPr="005C58B6">
        <w:rPr>
          <w:rFonts w:cs="Arial"/>
          <w:szCs w:val="20"/>
        </w:rPr>
        <w:t>.</w:t>
      </w:r>
    </w:p>
    <w:p w14:paraId="7305F9A2" w14:textId="43391A0E" w:rsidR="004D5F07" w:rsidRPr="005C58B6" w:rsidRDefault="004D5F07" w:rsidP="004D5F07">
      <w:pPr>
        <w:numPr>
          <w:ilvl w:val="0"/>
          <w:numId w:val="20"/>
        </w:numPr>
        <w:rPr>
          <w:rFonts w:cs="Arial"/>
          <w:szCs w:val="20"/>
        </w:rPr>
      </w:pPr>
      <w:r w:rsidRPr="005C58B6">
        <w:rPr>
          <w:rFonts w:cs="Arial"/>
          <w:szCs w:val="20"/>
        </w:rPr>
        <w:t>Evidence-Based Medicine Analysis: “</w:t>
      </w:r>
      <w:r>
        <w:rPr>
          <w:rFonts w:cs="Arial"/>
          <w:szCs w:val="20"/>
        </w:rPr>
        <w:t>Inflammatory Bowel Disease Agents, Oral</w:t>
      </w:r>
      <w:r w:rsidRPr="005C58B6">
        <w:rPr>
          <w:rFonts w:cs="Arial"/>
          <w:szCs w:val="20"/>
        </w:rPr>
        <w:t xml:space="preserve">”, UMKC-DIC; Last updated </w:t>
      </w:r>
      <w:r w:rsidR="00825B29">
        <w:rPr>
          <w:rFonts w:cs="Arial"/>
          <w:szCs w:val="20"/>
        </w:rPr>
        <w:t>February</w:t>
      </w:r>
      <w:r w:rsidRPr="005C58B6">
        <w:rPr>
          <w:rFonts w:cs="Arial"/>
          <w:szCs w:val="20"/>
        </w:rPr>
        <w:t xml:space="preserve"> 202</w:t>
      </w:r>
      <w:r w:rsidR="00825B29">
        <w:rPr>
          <w:rFonts w:cs="Arial"/>
          <w:szCs w:val="20"/>
        </w:rPr>
        <w:t>6</w:t>
      </w:r>
      <w:r w:rsidRPr="005C58B6">
        <w:rPr>
          <w:rFonts w:cs="Arial"/>
          <w:szCs w:val="20"/>
        </w:rPr>
        <w:t>.</w:t>
      </w:r>
    </w:p>
    <w:p w14:paraId="4746BD54" w14:textId="77777777" w:rsidR="004D5F07" w:rsidRPr="00DE4AAE" w:rsidRDefault="004D5F07" w:rsidP="004D5F07">
      <w:pPr>
        <w:pStyle w:val="ListParagraph"/>
        <w:numPr>
          <w:ilvl w:val="0"/>
          <w:numId w:val="20"/>
        </w:numPr>
        <w:rPr>
          <w:rFonts w:cs="Arial"/>
          <w:szCs w:val="20"/>
        </w:rPr>
      </w:pPr>
      <w:bookmarkStart w:id="3" w:name="_Hlk128490961"/>
      <w:bookmarkStart w:id="4" w:name="_Hlk34121003"/>
      <w:r w:rsidRPr="00DE4AAE">
        <w:rPr>
          <w:rFonts w:cs="Arial"/>
          <w:szCs w:val="20"/>
        </w:rPr>
        <w:t xml:space="preserve">Lewis JD, Parlett LE, Jonsson Funk ML, et al. Incidence, prevalence, and racial and ethnic distribution of inflammatory bowel disease in the United States. Gastroenterology. 2023;165(5):1197–1205.e2. </w:t>
      </w:r>
      <w:proofErr w:type="gramStart"/>
      <w:r w:rsidRPr="00DE4AAE">
        <w:rPr>
          <w:rFonts w:cs="Arial"/>
          <w:szCs w:val="20"/>
        </w:rPr>
        <w:t>doi:10.1053/j.gastro</w:t>
      </w:r>
      <w:proofErr w:type="gramEnd"/>
      <w:r w:rsidRPr="00DE4AAE">
        <w:rPr>
          <w:rFonts w:cs="Arial"/>
          <w:szCs w:val="20"/>
        </w:rPr>
        <w:t>.2023.07.003</w:t>
      </w:r>
    </w:p>
    <w:bookmarkEnd w:id="3"/>
    <w:p w14:paraId="7FDA148E" w14:textId="458E0897" w:rsidR="004D5F07" w:rsidRPr="00814BD4" w:rsidRDefault="004D5F07" w:rsidP="004D5F07">
      <w:pPr>
        <w:numPr>
          <w:ilvl w:val="0"/>
          <w:numId w:val="20"/>
        </w:numPr>
        <w:rPr>
          <w:rFonts w:cs="Arial"/>
          <w:szCs w:val="20"/>
        </w:rPr>
      </w:pPr>
      <w:r w:rsidRPr="00814BD4">
        <w:rPr>
          <w:rFonts w:cs="Arial"/>
          <w:szCs w:val="20"/>
        </w:rPr>
        <w:t>USPDI, Micromedex; 202</w:t>
      </w:r>
      <w:r>
        <w:rPr>
          <w:rFonts w:cs="Arial"/>
          <w:szCs w:val="20"/>
        </w:rPr>
        <w:t>6.</w:t>
      </w:r>
    </w:p>
    <w:p w14:paraId="6C539201" w14:textId="2B008A66" w:rsidR="004D5F07" w:rsidRPr="00814BD4" w:rsidRDefault="004D5F07" w:rsidP="004D5F07">
      <w:pPr>
        <w:numPr>
          <w:ilvl w:val="0"/>
          <w:numId w:val="20"/>
        </w:numPr>
        <w:rPr>
          <w:rFonts w:cs="Arial"/>
          <w:szCs w:val="20"/>
        </w:rPr>
      </w:pPr>
      <w:r w:rsidRPr="00814BD4">
        <w:rPr>
          <w:rFonts w:cs="Arial"/>
          <w:szCs w:val="20"/>
        </w:rPr>
        <w:t xml:space="preserve">Facts and Comparisons </w:t>
      </w:r>
      <w:proofErr w:type="spellStart"/>
      <w:r w:rsidRPr="00814BD4">
        <w:rPr>
          <w:rFonts w:cs="Arial"/>
          <w:szCs w:val="20"/>
        </w:rPr>
        <w:t>eAnswers</w:t>
      </w:r>
      <w:proofErr w:type="spellEnd"/>
      <w:r w:rsidRPr="00814BD4">
        <w:rPr>
          <w:rFonts w:cs="Arial"/>
          <w:szCs w:val="20"/>
        </w:rPr>
        <w:t xml:space="preserve"> (online); 202</w:t>
      </w:r>
      <w:r>
        <w:rPr>
          <w:rFonts w:cs="Arial"/>
          <w:szCs w:val="20"/>
        </w:rPr>
        <w:t>6</w:t>
      </w:r>
      <w:r w:rsidRPr="00814BD4">
        <w:rPr>
          <w:rFonts w:cs="Arial"/>
          <w:szCs w:val="20"/>
        </w:rPr>
        <w:t xml:space="preserve"> Clinical Drug Information, LLC. </w:t>
      </w:r>
      <w:bookmarkEnd w:id="4"/>
    </w:p>
    <w:p w14:paraId="3FA1E7DB" w14:textId="6051379B" w:rsidR="00777CA4" w:rsidRDefault="00777CA4" w:rsidP="004D5F07">
      <w:pPr>
        <w:pStyle w:val="ListParagraph"/>
        <w:numPr>
          <w:ilvl w:val="0"/>
          <w:numId w:val="0"/>
        </w:numPr>
        <w:ind w:left="360"/>
      </w:pPr>
    </w:p>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120E" w14:textId="77777777" w:rsidR="00C92D01" w:rsidRPr="00C02553" w:rsidRDefault="00C92D01" w:rsidP="00AE77DB">
      <w:r w:rsidRPr="00C02553">
        <w:separator/>
      </w:r>
    </w:p>
  </w:endnote>
  <w:endnote w:type="continuationSeparator" w:id="0">
    <w:p w14:paraId="191880FB" w14:textId="77777777" w:rsidR="00C92D01" w:rsidRPr="00C02553" w:rsidRDefault="00C92D01" w:rsidP="00AE77DB">
      <w:r w:rsidRPr="00C02553">
        <w:continuationSeparator/>
      </w:r>
    </w:p>
  </w:endnote>
  <w:endnote w:type="continuationNotice" w:id="1">
    <w:p w14:paraId="4003C9D1" w14:textId="77777777" w:rsidR="00C92D01" w:rsidRPr="00C02553" w:rsidRDefault="00C92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8528B" w14:textId="77777777" w:rsidR="00C92D01" w:rsidRPr="00C02553" w:rsidRDefault="00C92D01" w:rsidP="00AE77DB">
      <w:r w:rsidRPr="00C02553">
        <w:separator/>
      </w:r>
    </w:p>
  </w:footnote>
  <w:footnote w:type="continuationSeparator" w:id="0">
    <w:p w14:paraId="76E7B170" w14:textId="77777777" w:rsidR="00C92D01" w:rsidRPr="00C02553" w:rsidRDefault="00C92D01" w:rsidP="00AE77DB">
      <w:r w:rsidRPr="00C02553">
        <w:continuationSeparator/>
      </w:r>
    </w:p>
  </w:footnote>
  <w:footnote w:type="continuationNotice" w:id="1">
    <w:p w14:paraId="57D4D9B9" w14:textId="77777777" w:rsidR="00C92D01" w:rsidRPr="00C02553" w:rsidRDefault="00C92D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58145E">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58145E">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6848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58145E">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CD1C09"/>
    <w:multiLevelType w:val="hybridMultilevel"/>
    <w:tmpl w:val="5B4862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AE3BF1"/>
    <w:multiLevelType w:val="hybridMultilevel"/>
    <w:tmpl w:val="CF162BE0"/>
    <w:lvl w:ilvl="0" w:tplc="212E2E9A">
      <w:start w:val="1"/>
      <w:numFmt w:val="bullet"/>
      <w:lvlText w:val=""/>
      <w:lvlJc w:val="left"/>
      <w:pPr>
        <w:ind w:left="1440" w:hanging="360"/>
      </w:pPr>
      <w:rPr>
        <w:rFonts w:ascii="Symbol" w:hAnsi="Symbol" w:hint="default"/>
      </w:rPr>
    </w:lvl>
    <w:lvl w:ilvl="1" w:tplc="FFFFFFFF">
      <w:start w:val="1"/>
      <w:numFmt w:val="bullet"/>
      <w:lvlText w:val="o"/>
      <w:lvlJc w:val="left"/>
      <w:pPr>
        <w:ind w:left="720" w:hanging="360"/>
      </w:pPr>
      <w:rPr>
        <w:rFonts w:ascii="Courier New" w:hAnsi="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A2788"/>
    <w:multiLevelType w:val="hybridMultilevel"/>
    <w:tmpl w:val="E21CC756"/>
    <w:lvl w:ilvl="0" w:tplc="2458C6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1D3F76"/>
    <w:multiLevelType w:val="hybridMultilevel"/>
    <w:tmpl w:val="404E4652"/>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9577D0"/>
    <w:multiLevelType w:val="hybridMultilevel"/>
    <w:tmpl w:val="79065FB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9"/>
  </w:num>
  <w:num w:numId="3" w16cid:durableId="1729067566">
    <w:abstractNumId w:val="4"/>
  </w:num>
  <w:num w:numId="4" w16cid:durableId="320159068">
    <w:abstractNumId w:val="9"/>
  </w:num>
  <w:num w:numId="5" w16cid:durableId="1769498754">
    <w:abstractNumId w:val="3"/>
  </w:num>
  <w:num w:numId="6" w16cid:durableId="1094596320">
    <w:abstractNumId w:val="17"/>
  </w:num>
  <w:num w:numId="7" w16cid:durableId="2110008555">
    <w:abstractNumId w:val="2"/>
  </w:num>
  <w:num w:numId="8" w16cid:durableId="489712751">
    <w:abstractNumId w:val="7"/>
  </w:num>
  <w:num w:numId="9" w16cid:durableId="1085147965">
    <w:abstractNumId w:val="13"/>
  </w:num>
  <w:num w:numId="10" w16cid:durableId="917518096">
    <w:abstractNumId w:val="10"/>
  </w:num>
  <w:num w:numId="11" w16cid:durableId="1894998475">
    <w:abstractNumId w:val="1"/>
  </w:num>
  <w:num w:numId="12" w16cid:durableId="1418215296">
    <w:abstractNumId w:val="18"/>
  </w:num>
  <w:num w:numId="13" w16cid:durableId="604729665">
    <w:abstractNumId w:val="6"/>
  </w:num>
  <w:num w:numId="14" w16cid:durableId="1805081292">
    <w:abstractNumId w:val="16"/>
  </w:num>
  <w:num w:numId="15" w16cid:durableId="1276518432">
    <w:abstractNumId w:val="11"/>
  </w:num>
  <w:num w:numId="16" w16cid:durableId="754521697">
    <w:abstractNumId w:val="5"/>
  </w:num>
  <w:num w:numId="17" w16cid:durableId="70851593">
    <w:abstractNumId w:val="12"/>
  </w:num>
  <w:num w:numId="18" w16cid:durableId="1415735822">
    <w:abstractNumId w:val="14"/>
  </w:num>
  <w:num w:numId="19" w16cid:durableId="243144725">
    <w:abstractNumId w:val="8"/>
  </w:num>
  <w:num w:numId="20" w16cid:durableId="78769970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n1P2jgpiWajW8mXTbbSf5oSJ3+mI/nta3epfjJNNY9OGcWNKvAYifF1sz0P6vV6QQ6T0QEPJmkfxvZK/5/MrEA==" w:salt="m5LsqzT4uV0xUNrvacLHdQ=="/>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1108"/>
    <w:rsid w:val="0000390A"/>
    <w:rsid w:val="0000457E"/>
    <w:rsid w:val="00006A61"/>
    <w:rsid w:val="000276D9"/>
    <w:rsid w:val="000344C5"/>
    <w:rsid w:val="00040AD3"/>
    <w:rsid w:val="00053807"/>
    <w:rsid w:val="000572E5"/>
    <w:rsid w:val="00057F84"/>
    <w:rsid w:val="00061541"/>
    <w:rsid w:val="00064162"/>
    <w:rsid w:val="00065C22"/>
    <w:rsid w:val="00074464"/>
    <w:rsid w:val="00075C22"/>
    <w:rsid w:val="00076030"/>
    <w:rsid w:val="00077197"/>
    <w:rsid w:val="00082590"/>
    <w:rsid w:val="000913C3"/>
    <w:rsid w:val="000953B9"/>
    <w:rsid w:val="00095D50"/>
    <w:rsid w:val="000A2CF0"/>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5A7E"/>
    <w:rsid w:val="0015636A"/>
    <w:rsid w:val="00172053"/>
    <w:rsid w:val="00174966"/>
    <w:rsid w:val="00177A80"/>
    <w:rsid w:val="001A50CB"/>
    <w:rsid w:val="001A74B7"/>
    <w:rsid w:val="001B2D47"/>
    <w:rsid w:val="001C0250"/>
    <w:rsid w:val="001C5F09"/>
    <w:rsid w:val="001C6DA4"/>
    <w:rsid w:val="001C73B1"/>
    <w:rsid w:val="001D1E7D"/>
    <w:rsid w:val="001D6567"/>
    <w:rsid w:val="001E2CCB"/>
    <w:rsid w:val="001E4CBA"/>
    <w:rsid w:val="001E523C"/>
    <w:rsid w:val="001E61DF"/>
    <w:rsid w:val="001E78C3"/>
    <w:rsid w:val="001F2B9F"/>
    <w:rsid w:val="001F5954"/>
    <w:rsid w:val="00202DD3"/>
    <w:rsid w:val="00206E7D"/>
    <w:rsid w:val="00217E14"/>
    <w:rsid w:val="00217EFD"/>
    <w:rsid w:val="00222134"/>
    <w:rsid w:val="0022233F"/>
    <w:rsid w:val="00226275"/>
    <w:rsid w:val="00246564"/>
    <w:rsid w:val="00246A3B"/>
    <w:rsid w:val="00255404"/>
    <w:rsid w:val="0025594F"/>
    <w:rsid w:val="00256EFE"/>
    <w:rsid w:val="00270C5E"/>
    <w:rsid w:val="00290A03"/>
    <w:rsid w:val="0029159A"/>
    <w:rsid w:val="00291600"/>
    <w:rsid w:val="00297D9D"/>
    <w:rsid w:val="002A02F4"/>
    <w:rsid w:val="002A1BA5"/>
    <w:rsid w:val="002A4160"/>
    <w:rsid w:val="002C2C41"/>
    <w:rsid w:val="002C62E7"/>
    <w:rsid w:val="002D6311"/>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279E9"/>
    <w:rsid w:val="003355AC"/>
    <w:rsid w:val="00343D6B"/>
    <w:rsid w:val="00347FB5"/>
    <w:rsid w:val="00355515"/>
    <w:rsid w:val="003608B5"/>
    <w:rsid w:val="003613AF"/>
    <w:rsid w:val="0038401F"/>
    <w:rsid w:val="003878C1"/>
    <w:rsid w:val="00396C0B"/>
    <w:rsid w:val="003A4443"/>
    <w:rsid w:val="003A630F"/>
    <w:rsid w:val="003B3958"/>
    <w:rsid w:val="003B4820"/>
    <w:rsid w:val="003B5F4B"/>
    <w:rsid w:val="003B682F"/>
    <w:rsid w:val="003B694E"/>
    <w:rsid w:val="003C53FC"/>
    <w:rsid w:val="003C7013"/>
    <w:rsid w:val="003D641B"/>
    <w:rsid w:val="003F227C"/>
    <w:rsid w:val="003F7A30"/>
    <w:rsid w:val="00401671"/>
    <w:rsid w:val="004023CC"/>
    <w:rsid w:val="00407564"/>
    <w:rsid w:val="00411152"/>
    <w:rsid w:val="004156AA"/>
    <w:rsid w:val="004253A1"/>
    <w:rsid w:val="004313B6"/>
    <w:rsid w:val="00433339"/>
    <w:rsid w:val="00446BBC"/>
    <w:rsid w:val="004472C0"/>
    <w:rsid w:val="00450705"/>
    <w:rsid w:val="00451928"/>
    <w:rsid w:val="004641EB"/>
    <w:rsid w:val="0046618B"/>
    <w:rsid w:val="0048608C"/>
    <w:rsid w:val="00486292"/>
    <w:rsid w:val="00496E57"/>
    <w:rsid w:val="004B3E10"/>
    <w:rsid w:val="004C0F5D"/>
    <w:rsid w:val="004C375A"/>
    <w:rsid w:val="004C4954"/>
    <w:rsid w:val="004C5767"/>
    <w:rsid w:val="004D5322"/>
    <w:rsid w:val="004D5F07"/>
    <w:rsid w:val="004D78B0"/>
    <w:rsid w:val="004E611F"/>
    <w:rsid w:val="004E787F"/>
    <w:rsid w:val="004F2A79"/>
    <w:rsid w:val="004F4D37"/>
    <w:rsid w:val="00501A14"/>
    <w:rsid w:val="00501DE3"/>
    <w:rsid w:val="00503126"/>
    <w:rsid w:val="005058CB"/>
    <w:rsid w:val="0051044D"/>
    <w:rsid w:val="005139E4"/>
    <w:rsid w:val="00515075"/>
    <w:rsid w:val="005152A0"/>
    <w:rsid w:val="00520FE9"/>
    <w:rsid w:val="005233E7"/>
    <w:rsid w:val="005328B2"/>
    <w:rsid w:val="00535BD5"/>
    <w:rsid w:val="00540977"/>
    <w:rsid w:val="0054700F"/>
    <w:rsid w:val="00551668"/>
    <w:rsid w:val="005572D5"/>
    <w:rsid w:val="00566BE4"/>
    <w:rsid w:val="00570D21"/>
    <w:rsid w:val="00573698"/>
    <w:rsid w:val="00573856"/>
    <w:rsid w:val="00576113"/>
    <w:rsid w:val="0058145E"/>
    <w:rsid w:val="00590652"/>
    <w:rsid w:val="0059235F"/>
    <w:rsid w:val="00596936"/>
    <w:rsid w:val="005A2F1E"/>
    <w:rsid w:val="005A39A3"/>
    <w:rsid w:val="005A4232"/>
    <w:rsid w:val="005A6051"/>
    <w:rsid w:val="005A77D5"/>
    <w:rsid w:val="005C3616"/>
    <w:rsid w:val="005D36B2"/>
    <w:rsid w:val="005D52E7"/>
    <w:rsid w:val="005D78B5"/>
    <w:rsid w:val="005E3572"/>
    <w:rsid w:val="005E45E4"/>
    <w:rsid w:val="005F0A81"/>
    <w:rsid w:val="005F0FCF"/>
    <w:rsid w:val="005F2720"/>
    <w:rsid w:val="005F4A95"/>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1656"/>
    <w:rsid w:val="0066374F"/>
    <w:rsid w:val="00664349"/>
    <w:rsid w:val="00677C65"/>
    <w:rsid w:val="00693152"/>
    <w:rsid w:val="00694FAE"/>
    <w:rsid w:val="00696E3A"/>
    <w:rsid w:val="006A0834"/>
    <w:rsid w:val="006A4BBD"/>
    <w:rsid w:val="006A52F1"/>
    <w:rsid w:val="006B561D"/>
    <w:rsid w:val="006B6D5D"/>
    <w:rsid w:val="006C45F2"/>
    <w:rsid w:val="006C4790"/>
    <w:rsid w:val="006D2330"/>
    <w:rsid w:val="006D476D"/>
    <w:rsid w:val="006E0F8B"/>
    <w:rsid w:val="006E12F7"/>
    <w:rsid w:val="006E29D7"/>
    <w:rsid w:val="007068A4"/>
    <w:rsid w:val="00706D67"/>
    <w:rsid w:val="00713052"/>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9745C"/>
    <w:rsid w:val="007A3034"/>
    <w:rsid w:val="007A507C"/>
    <w:rsid w:val="007A527E"/>
    <w:rsid w:val="007A53E7"/>
    <w:rsid w:val="007A78F7"/>
    <w:rsid w:val="007B3333"/>
    <w:rsid w:val="007B379F"/>
    <w:rsid w:val="007B37D6"/>
    <w:rsid w:val="007B5D30"/>
    <w:rsid w:val="007D2920"/>
    <w:rsid w:val="007D42DD"/>
    <w:rsid w:val="007E02B4"/>
    <w:rsid w:val="007E6A37"/>
    <w:rsid w:val="007F1774"/>
    <w:rsid w:val="00811A70"/>
    <w:rsid w:val="0081406E"/>
    <w:rsid w:val="00825B29"/>
    <w:rsid w:val="00832211"/>
    <w:rsid w:val="008325F4"/>
    <w:rsid w:val="00832AC8"/>
    <w:rsid w:val="00844981"/>
    <w:rsid w:val="00846FA4"/>
    <w:rsid w:val="008524BA"/>
    <w:rsid w:val="00852B74"/>
    <w:rsid w:val="00855E3C"/>
    <w:rsid w:val="00856928"/>
    <w:rsid w:val="00865538"/>
    <w:rsid w:val="00870875"/>
    <w:rsid w:val="0088225C"/>
    <w:rsid w:val="00884026"/>
    <w:rsid w:val="00884C78"/>
    <w:rsid w:val="008859E1"/>
    <w:rsid w:val="00896264"/>
    <w:rsid w:val="008A5D88"/>
    <w:rsid w:val="008A7CDD"/>
    <w:rsid w:val="008B2851"/>
    <w:rsid w:val="008C000E"/>
    <w:rsid w:val="008D0F2F"/>
    <w:rsid w:val="008D237F"/>
    <w:rsid w:val="008D6B05"/>
    <w:rsid w:val="008E7921"/>
    <w:rsid w:val="008E7D2D"/>
    <w:rsid w:val="008F44C0"/>
    <w:rsid w:val="008F5999"/>
    <w:rsid w:val="00903AD6"/>
    <w:rsid w:val="00904D7A"/>
    <w:rsid w:val="00912190"/>
    <w:rsid w:val="00915332"/>
    <w:rsid w:val="009204BB"/>
    <w:rsid w:val="0093282A"/>
    <w:rsid w:val="00935918"/>
    <w:rsid w:val="00935EC3"/>
    <w:rsid w:val="00951097"/>
    <w:rsid w:val="00953C1E"/>
    <w:rsid w:val="009575DF"/>
    <w:rsid w:val="0096210F"/>
    <w:rsid w:val="00962633"/>
    <w:rsid w:val="00963187"/>
    <w:rsid w:val="00963ACF"/>
    <w:rsid w:val="00963D1C"/>
    <w:rsid w:val="00964284"/>
    <w:rsid w:val="00966455"/>
    <w:rsid w:val="0096716A"/>
    <w:rsid w:val="0097028A"/>
    <w:rsid w:val="00973BD6"/>
    <w:rsid w:val="00984549"/>
    <w:rsid w:val="00985D28"/>
    <w:rsid w:val="00991BF0"/>
    <w:rsid w:val="009A0FB1"/>
    <w:rsid w:val="009A1FAC"/>
    <w:rsid w:val="009B001A"/>
    <w:rsid w:val="009B1A62"/>
    <w:rsid w:val="009C0404"/>
    <w:rsid w:val="009C3CC7"/>
    <w:rsid w:val="009D2057"/>
    <w:rsid w:val="009D3D6C"/>
    <w:rsid w:val="009D5551"/>
    <w:rsid w:val="009D62DB"/>
    <w:rsid w:val="009E0A30"/>
    <w:rsid w:val="009E3B42"/>
    <w:rsid w:val="00A05B60"/>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1481"/>
    <w:rsid w:val="00AE27F9"/>
    <w:rsid w:val="00AE77DB"/>
    <w:rsid w:val="00AF7453"/>
    <w:rsid w:val="00B00FFF"/>
    <w:rsid w:val="00B06084"/>
    <w:rsid w:val="00B1382B"/>
    <w:rsid w:val="00B16676"/>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3299"/>
    <w:rsid w:val="00C04EB6"/>
    <w:rsid w:val="00C056F9"/>
    <w:rsid w:val="00C1018C"/>
    <w:rsid w:val="00C1150E"/>
    <w:rsid w:val="00C14D52"/>
    <w:rsid w:val="00C23633"/>
    <w:rsid w:val="00C2586C"/>
    <w:rsid w:val="00C26001"/>
    <w:rsid w:val="00C34E72"/>
    <w:rsid w:val="00C56B1F"/>
    <w:rsid w:val="00C61B52"/>
    <w:rsid w:val="00C62745"/>
    <w:rsid w:val="00C654CA"/>
    <w:rsid w:val="00C722C9"/>
    <w:rsid w:val="00C763BD"/>
    <w:rsid w:val="00C779A8"/>
    <w:rsid w:val="00C82E19"/>
    <w:rsid w:val="00C83B35"/>
    <w:rsid w:val="00C92D01"/>
    <w:rsid w:val="00C96873"/>
    <w:rsid w:val="00CA1735"/>
    <w:rsid w:val="00CA1E50"/>
    <w:rsid w:val="00CA3C4B"/>
    <w:rsid w:val="00CA7252"/>
    <w:rsid w:val="00CB2C1C"/>
    <w:rsid w:val="00CB2C5A"/>
    <w:rsid w:val="00CB65C7"/>
    <w:rsid w:val="00CD6B72"/>
    <w:rsid w:val="00CE0C1C"/>
    <w:rsid w:val="00CE34AF"/>
    <w:rsid w:val="00CF00A4"/>
    <w:rsid w:val="00CF25FB"/>
    <w:rsid w:val="00CF614C"/>
    <w:rsid w:val="00CF7046"/>
    <w:rsid w:val="00D02F34"/>
    <w:rsid w:val="00D13D87"/>
    <w:rsid w:val="00D16590"/>
    <w:rsid w:val="00D20720"/>
    <w:rsid w:val="00D2241A"/>
    <w:rsid w:val="00D250D9"/>
    <w:rsid w:val="00D27533"/>
    <w:rsid w:val="00D42DA3"/>
    <w:rsid w:val="00D4546D"/>
    <w:rsid w:val="00D47996"/>
    <w:rsid w:val="00D57274"/>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2251"/>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11EA"/>
    <w:rsid w:val="00E72094"/>
    <w:rsid w:val="00E72221"/>
    <w:rsid w:val="00E77319"/>
    <w:rsid w:val="00E83428"/>
    <w:rsid w:val="00E84C58"/>
    <w:rsid w:val="00E873A5"/>
    <w:rsid w:val="00E90D11"/>
    <w:rsid w:val="00E915E5"/>
    <w:rsid w:val="00E96C1F"/>
    <w:rsid w:val="00EB0367"/>
    <w:rsid w:val="00EB3D55"/>
    <w:rsid w:val="00EB4FB9"/>
    <w:rsid w:val="00EB5BC8"/>
    <w:rsid w:val="00EC2738"/>
    <w:rsid w:val="00ED0709"/>
    <w:rsid w:val="00ED7B42"/>
    <w:rsid w:val="00EE3EA5"/>
    <w:rsid w:val="00EE613F"/>
    <w:rsid w:val="00EE6BD1"/>
    <w:rsid w:val="00EF0262"/>
    <w:rsid w:val="00EF0828"/>
    <w:rsid w:val="00EF6F8B"/>
    <w:rsid w:val="00F03898"/>
    <w:rsid w:val="00F1527A"/>
    <w:rsid w:val="00F15CFF"/>
    <w:rsid w:val="00F2696B"/>
    <w:rsid w:val="00F27821"/>
    <w:rsid w:val="00F30446"/>
    <w:rsid w:val="00F37ADF"/>
    <w:rsid w:val="00F4092A"/>
    <w:rsid w:val="00F41F69"/>
    <w:rsid w:val="00F43E41"/>
    <w:rsid w:val="00F45BA7"/>
    <w:rsid w:val="00F4790C"/>
    <w:rsid w:val="00F50C4B"/>
    <w:rsid w:val="00F54C08"/>
    <w:rsid w:val="00F553A2"/>
    <w:rsid w:val="00F6068C"/>
    <w:rsid w:val="00F62F33"/>
    <w:rsid w:val="00F63A52"/>
    <w:rsid w:val="00F730BA"/>
    <w:rsid w:val="00F903BE"/>
    <w:rsid w:val="00F95D04"/>
    <w:rsid w:val="00FA16EC"/>
    <w:rsid w:val="00FA2811"/>
    <w:rsid w:val="00FA4837"/>
    <w:rsid w:val="00FB1D33"/>
    <w:rsid w:val="00FB2CCC"/>
    <w:rsid w:val="00FB5E96"/>
    <w:rsid w:val="00FC05A0"/>
    <w:rsid w:val="00FC6758"/>
    <w:rsid w:val="00FD34EA"/>
    <w:rsid w:val="00FD5C9C"/>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1"/>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styleId="CommentReference">
    <w:name w:val="annotation reference"/>
    <w:basedOn w:val="DefaultParagraphFont"/>
    <w:uiPriority w:val="99"/>
    <w:semiHidden/>
    <w:unhideWhenUsed/>
    <w:rsid w:val="002D6311"/>
    <w:rPr>
      <w:sz w:val="16"/>
      <w:szCs w:val="16"/>
    </w:rPr>
  </w:style>
  <w:style w:type="paragraph" w:styleId="CommentSubject">
    <w:name w:val="annotation subject"/>
    <w:basedOn w:val="CommentText"/>
    <w:next w:val="CommentText"/>
    <w:link w:val="CommentSubjectChar"/>
    <w:uiPriority w:val="99"/>
    <w:semiHidden/>
    <w:unhideWhenUsed/>
    <w:rsid w:val="002D6311"/>
    <w:rPr>
      <w:b/>
      <w:bCs/>
    </w:rPr>
  </w:style>
  <w:style w:type="character" w:customStyle="1" w:styleId="CommentTextChar">
    <w:name w:val="Comment Text Char"/>
    <w:basedOn w:val="DefaultParagraphFont"/>
    <w:link w:val="CommentText"/>
    <w:semiHidden/>
    <w:rsid w:val="002D6311"/>
    <w:rPr>
      <w:rFonts w:ascii="Arial" w:hAnsi="Arial"/>
    </w:rPr>
  </w:style>
  <w:style w:type="character" w:customStyle="1" w:styleId="CommentSubjectChar">
    <w:name w:val="Comment Subject Char"/>
    <w:basedOn w:val="CommentTextChar"/>
    <w:link w:val="CommentSubject"/>
    <w:uiPriority w:val="99"/>
    <w:semiHidden/>
    <w:rsid w:val="002D631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mydss.mo.gov/mhd/pharmacy-clinical-edits-pdl__;!!Mh0G0HQJXw!Ftntf4uiw5MU21pklbS14xE_VFdv-QswbQ7Ygqy9IP_XiQhNonJ128hUnwn9QwwCXMNzvL5FA68XQFxs84P4HiFCuNFmnaq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0F9992BC-7C11-4A83-A97F-D2E41AE80BF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5eefb00-5952-4f7e-8cf8-96f81cfadd01"/>
    <ds:schemaRef ds:uri="http://purl.org/dc/elements/1.1/"/>
    <ds:schemaRef ds:uri="http://schemas.microsoft.com/office/2006/metadata/properties"/>
    <ds:schemaRef ds:uri="aba01ddc-ae9a-4c9e-819c-7140b4239cd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25B5070E-B380-4629-9ED1-40092A39B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788</Words>
  <Characters>4984</Characters>
  <Application>Microsoft Office Word</Application>
  <DocSecurity>10</DocSecurity>
  <Lines>41</Lines>
  <Paragraphs>11</Paragraphs>
  <ScaleCrop>false</ScaleCrop>
  <HeadingPairs>
    <vt:vector size="2" baseType="variant">
      <vt:variant>
        <vt:lpstr>Title</vt:lpstr>
      </vt:variant>
      <vt:variant>
        <vt:i4>1</vt:i4>
      </vt:variant>
    </vt:vector>
  </HeadingPairs>
  <TitlesOfParts>
    <vt:vector size="1" baseType="lpstr">
      <vt:lpstr>IBD Agents, Oral PDL</vt:lpstr>
    </vt:vector>
  </TitlesOfParts>
  <Company>DSS</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IBD Agents, Oral PDL</dc:title>
  <dc:creator>DMS</dc:creator>
  <cp:lastModifiedBy>Heriford, Katherine</cp:lastModifiedBy>
  <cp:revision>56</cp:revision>
  <cp:lastPrinted>2018-10-31T20:17:00Z</cp:lastPrinted>
  <dcterms:created xsi:type="dcterms:W3CDTF">2025-09-19T16:48:00Z</dcterms:created>
  <dcterms:modified xsi:type="dcterms:W3CDTF">2026-04-06T16:06:00Z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