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764BC6A8" w:rsidR="004C5767" w:rsidRPr="008859E1" w:rsidRDefault="004C5767" w:rsidP="00D27533">
      <w:pPr>
        <w:pStyle w:val="tbody"/>
        <w:rPr>
          <w:b w:val="0"/>
          <w:bCs/>
        </w:rPr>
      </w:pPr>
      <w:r w:rsidRPr="00C02553">
        <w:t>Drug/Drug Class:</w:t>
      </w:r>
      <w:r w:rsidR="003B4820" w:rsidRPr="00573856">
        <w:rPr>
          <w:b w:val="0"/>
          <w:bCs/>
        </w:rPr>
        <w:t xml:space="preserve"> </w:t>
      </w:r>
      <w:r w:rsidR="00781DF2" w:rsidRPr="00781DF2">
        <w:rPr>
          <w:b w:val="0"/>
          <w:bCs/>
        </w:rPr>
        <w:t>Hospice Fiscal Edit</w:t>
      </w:r>
    </w:p>
    <w:p w14:paraId="7AD7FFCE" w14:textId="2042CF5D" w:rsidR="004C5767" w:rsidRPr="00C02553" w:rsidRDefault="004C5767" w:rsidP="00D27533">
      <w:pPr>
        <w:pStyle w:val="tbody"/>
      </w:pPr>
      <w:r w:rsidRPr="00C02553">
        <w:t>First Implementation Date:</w:t>
      </w:r>
      <w:r w:rsidRPr="00573856">
        <w:rPr>
          <w:b w:val="0"/>
          <w:bCs/>
        </w:rPr>
        <w:t xml:space="preserve"> </w:t>
      </w:r>
      <w:r w:rsidR="00580640" w:rsidRPr="00580640">
        <w:rPr>
          <w:b w:val="0"/>
          <w:bCs/>
        </w:rPr>
        <w:t>January 5, 2005</w:t>
      </w:r>
    </w:p>
    <w:p w14:paraId="4B7D760D" w14:textId="1E0B1C98" w:rsidR="004C5767" w:rsidRPr="00057F84" w:rsidRDefault="00580640" w:rsidP="70E341D6">
      <w:pPr>
        <w:pStyle w:val="tbody"/>
        <w:rPr>
          <w:b w:val="0"/>
        </w:rPr>
      </w:pPr>
      <w:r>
        <w:t>Revised</w:t>
      </w:r>
      <w:r w:rsidR="004C5767">
        <w:t xml:space="preserve"> Date:</w:t>
      </w:r>
      <w:r w:rsidR="00065C22">
        <w:t xml:space="preserve"> </w:t>
      </w:r>
      <w:r w:rsidR="0010693D">
        <w:rPr>
          <w:b w:val="0"/>
        </w:rPr>
        <w:t>February 12,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F9F32E8"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0D2E8134" w14:textId="157B4B0A" w:rsidR="001123CA" w:rsidRDefault="001123CA" w:rsidP="00696E3A">
      <w:pPr>
        <w:rPr>
          <w:rFonts w:cs="Arial"/>
          <w:spacing w:val="-3"/>
        </w:rPr>
      </w:pPr>
      <w:r w:rsidRPr="0018128A">
        <w:rPr>
          <w:rFonts w:cs="Arial"/>
          <w:spacing w:val="-3"/>
        </w:rPr>
        <w:t xml:space="preserve">MO HealthNet currently reimburses Hospice </w:t>
      </w:r>
      <w:r w:rsidR="007E16CF" w:rsidRPr="0018128A">
        <w:rPr>
          <w:rFonts w:cs="Arial"/>
          <w:spacing w:val="-3"/>
        </w:rPr>
        <w:t>Centers</w:t>
      </w:r>
      <w:r w:rsidRPr="0018128A">
        <w:rPr>
          <w:rFonts w:cs="Arial"/>
          <w:spacing w:val="-3"/>
        </w:rPr>
        <w:t xml:space="preserve"> </w:t>
      </w:r>
      <w:r w:rsidR="007E16CF">
        <w:rPr>
          <w:rFonts w:cs="Arial"/>
          <w:spacing w:val="-3"/>
        </w:rPr>
        <w:t xml:space="preserve">a </w:t>
      </w:r>
      <w:r w:rsidRPr="0018128A">
        <w:rPr>
          <w:rFonts w:cs="Arial"/>
          <w:spacing w:val="-3"/>
        </w:rPr>
        <w:t>per diem that includes coverage of pharmaceutical services used for the palliation and management of a participant’s terminal illness and related conditions. Drug therapy used in the treatment of non-terminal medical conditions must be billed separately by the pharmacy provider.</w:t>
      </w:r>
    </w:p>
    <w:p w14:paraId="2320C114" w14:textId="7884794D"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5964CF2" w14:textId="2A29D646" w:rsidR="007A3034" w:rsidRDefault="00EB459C" w:rsidP="009A0FB1">
      <w:pPr>
        <w:rPr>
          <w:rFonts w:cs="Arial"/>
          <w:spacing w:val="-3"/>
        </w:rPr>
      </w:pPr>
      <w:r w:rsidRPr="0018128A">
        <w:rPr>
          <w:rFonts w:cs="Arial"/>
          <w:spacing w:val="-3"/>
        </w:rPr>
        <w:t>Significant program savings can be achieved when editing prescription drug claims for participants residing in Hospice care centers.  Drugs used to treat a participant’s terminal medical condition are included in the per diem rate paid to the facility by MO HealthNet and should not be billed separately by the pharmacy provider.  Editing and denying drug claims for treatment of a terminal condition will reduce program costs. Upon prior approval, MO HealthNet will reimburse pharmacy providers for pharmacy claims which are not related to the hospice participant’s terminal diagnosis.</w:t>
      </w:r>
    </w:p>
    <w:p w14:paraId="17929974" w14:textId="77777777" w:rsidR="00EB459C" w:rsidRDefault="00EB459C" w:rsidP="009A0FB1">
      <w:pPr>
        <w:rPr>
          <w:rFonts w:cs="Arial"/>
          <w:szCs w:val="20"/>
        </w:rPr>
      </w:pPr>
    </w:p>
    <w:p w14:paraId="21AD6E46" w14:textId="156C4747" w:rsidR="00951CD2" w:rsidRDefault="00951CD2" w:rsidP="009A0FB1">
      <w:pPr>
        <w:rPr>
          <w:rFonts w:cs="Arial"/>
          <w:b/>
          <w:spacing w:val="-3"/>
          <w:szCs w:val="20"/>
        </w:rPr>
      </w:pPr>
      <w:r w:rsidRPr="00DB083D">
        <w:rPr>
          <w:rFonts w:cs="Arial"/>
          <w:b/>
          <w:spacing w:val="-3"/>
          <w:szCs w:val="20"/>
        </w:rPr>
        <w:t>Program-Specific Information:</w:t>
      </w:r>
    </w:p>
    <w:p w14:paraId="7D7FD627" w14:textId="49CFE1AD" w:rsidR="00951CD2" w:rsidRDefault="00E67027" w:rsidP="009A0FB1">
      <w:pPr>
        <w:rPr>
          <w:rFonts w:cs="Arial"/>
          <w:bCs/>
          <w:spacing w:val="-3"/>
          <w:szCs w:val="20"/>
        </w:rPr>
      </w:pPr>
      <w:r w:rsidRPr="0018128A">
        <w:rPr>
          <w:rFonts w:cs="Arial"/>
          <w:bCs/>
          <w:spacing w:val="-3"/>
          <w:szCs w:val="20"/>
        </w:rPr>
        <w:t>Prescription drug claims used to treat the terminal medical condition of MO HealthNet participants enrolled in hospice care centers.  Drug classes include</w:t>
      </w:r>
      <w:r>
        <w:rPr>
          <w:rFonts w:cs="Arial"/>
          <w:bCs/>
          <w:spacing w:val="-3"/>
          <w:szCs w:val="20"/>
        </w:rPr>
        <w:t>d</w:t>
      </w:r>
      <w:r w:rsidRPr="0018128A">
        <w:rPr>
          <w:rFonts w:cs="Arial"/>
          <w:bCs/>
          <w:spacing w:val="-3"/>
          <w:szCs w:val="20"/>
        </w:rPr>
        <w:t xml:space="preserve"> in this edit </w:t>
      </w:r>
      <w:proofErr w:type="gramStart"/>
      <w:r w:rsidRPr="0018128A">
        <w:rPr>
          <w:rFonts w:cs="Arial"/>
          <w:bCs/>
          <w:spacing w:val="-3"/>
          <w:szCs w:val="20"/>
        </w:rPr>
        <w:t>are:</w:t>
      </w:r>
      <w:proofErr w:type="gramEnd"/>
      <w:r w:rsidRPr="0018128A">
        <w:rPr>
          <w:rFonts w:cs="Arial"/>
          <w:bCs/>
          <w:spacing w:val="-3"/>
          <w:szCs w:val="20"/>
        </w:rPr>
        <w:t xml:space="preserve"> antibiotics, analgesics, anti-anemics, anti-emetics, anti-</w:t>
      </w:r>
      <w:proofErr w:type="spellStart"/>
      <w:r w:rsidRPr="0018128A">
        <w:rPr>
          <w:rFonts w:cs="Arial"/>
          <w:bCs/>
          <w:spacing w:val="-3"/>
          <w:szCs w:val="20"/>
        </w:rPr>
        <w:t>fungals</w:t>
      </w:r>
      <w:proofErr w:type="spellEnd"/>
      <w:r w:rsidRPr="0018128A">
        <w:rPr>
          <w:rFonts w:cs="Arial"/>
          <w:bCs/>
          <w:spacing w:val="-3"/>
          <w:szCs w:val="20"/>
        </w:rPr>
        <w:t xml:space="preserve">, ammonia inhibitors, antineoplastics/hormonal </w:t>
      </w:r>
      <w:proofErr w:type="spellStart"/>
      <w:r w:rsidRPr="0018128A">
        <w:rPr>
          <w:rFonts w:cs="Arial"/>
          <w:bCs/>
          <w:spacing w:val="-3"/>
          <w:szCs w:val="20"/>
        </w:rPr>
        <w:t>neoplastics</w:t>
      </w:r>
      <w:proofErr w:type="spellEnd"/>
      <w:r w:rsidRPr="0018128A">
        <w:rPr>
          <w:rFonts w:cs="Arial"/>
          <w:bCs/>
          <w:spacing w:val="-3"/>
          <w:szCs w:val="20"/>
        </w:rPr>
        <w:t>, antispasmodics/motility agents, antivirals, anxiolytics, digestants, expectorants and cough products, glucocorticoids, lactulose, laxatives/cathartics, palliative medications (mucositis/stomatitis), sedatives/hypnotics, and thickening agents</w:t>
      </w:r>
    </w:p>
    <w:p w14:paraId="275DC21D" w14:textId="77777777" w:rsidR="00E67027" w:rsidRPr="002C2C41" w:rsidRDefault="00E67027" w:rsidP="009A0FB1">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3F29F62" w:rsidR="0097028A" w:rsidRPr="0079438F" w:rsidRDefault="0097028A" w:rsidP="00696E3A">
      <w:pPr>
        <w:rPr>
          <w:b/>
        </w:rPr>
      </w:pPr>
      <w:r w:rsidRPr="00696E3A">
        <w:rPr>
          <w:b/>
          <w:bCs/>
        </w:rPr>
        <w:t>Drug class for review:</w:t>
      </w:r>
      <w:r w:rsidRPr="00C02553">
        <w:t xml:space="preserve"> </w:t>
      </w:r>
      <w:r w:rsidR="00EA427D" w:rsidRPr="0018128A">
        <w:rPr>
          <w:rFonts w:cs="Arial"/>
          <w:szCs w:val="20"/>
        </w:rPr>
        <w:t>Prescription drug products used for the palliation and management of a participant’s terminal illness and related conditions</w:t>
      </w:r>
    </w:p>
    <w:p w14:paraId="26CFE8A0" w14:textId="251B895C" w:rsidR="008524BA" w:rsidRDefault="0097028A" w:rsidP="00696E3A">
      <w:pPr>
        <w:rPr>
          <w:rFonts w:cs="Arial"/>
          <w:b/>
        </w:rPr>
      </w:pPr>
      <w:r w:rsidRPr="00696E3A">
        <w:rPr>
          <w:b/>
          <w:bCs/>
        </w:rPr>
        <w:t>Age range:</w:t>
      </w:r>
      <w:r w:rsidRPr="00C02553">
        <w:t xml:space="preserve"> </w:t>
      </w:r>
      <w:r w:rsidR="003176A1" w:rsidRPr="0018128A">
        <w:rPr>
          <w:rFonts w:cs="Arial"/>
          <w:szCs w:val="20"/>
        </w:rPr>
        <w:t>Fee-for-service MO HealthNet participants with a lock-in indicator in their eligibility file for a Hospice Care Center (provider type 82)</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5839AD68" w14:textId="77777777" w:rsidR="00635DDB" w:rsidRDefault="00635DDB" w:rsidP="00635DDB">
      <w:pPr>
        <w:pStyle w:val="ListParagraph"/>
      </w:pPr>
      <w:r>
        <w:t xml:space="preserve">Must meet </w:t>
      </w:r>
      <w:proofErr w:type="gramStart"/>
      <w:r>
        <w:t>all of</w:t>
      </w:r>
      <w:proofErr w:type="gramEnd"/>
      <w:r>
        <w:t xml:space="preserve"> the following:</w:t>
      </w:r>
    </w:p>
    <w:p w14:paraId="7BA91E7D" w14:textId="77777777" w:rsidR="006731EC" w:rsidRPr="0018128A" w:rsidRDefault="006731EC" w:rsidP="006731EC">
      <w:pPr>
        <w:pStyle w:val="ListParagraph"/>
        <w:numPr>
          <w:ilvl w:val="1"/>
          <w:numId w:val="6"/>
        </w:numPr>
        <w:rPr>
          <w:rFonts w:cs="Arial"/>
          <w:bCs/>
          <w:szCs w:val="20"/>
        </w:rPr>
      </w:pPr>
      <w:r>
        <w:rPr>
          <w:rFonts w:cs="Arial"/>
          <w:bCs/>
          <w:szCs w:val="20"/>
        </w:rPr>
        <w:t>D</w:t>
      </w:r>
      <w:r w:rsidRPr="0018128A">
        <w:rPr>
          <w:rFonts w:cs="Arial"/>
          <w:bCs/>
          <w:szCs w:val="20"/>
        </w:rPr>
        <w:t>ocumentation that verifies that a specific medication is not related to the participant’s terminal diagnosis.</w:t>
      </w:r>
    </w:p>
    <w:p w14:paraId="0B0C0D72" w14:textId="77777777" w:rsidR="005328B2" w:rsidRDefault="005328B2" w:rsidP="0064149A">
      <w:pPr>
        <w:rPr>
          <w:rFonts w:cs="Arial"/>
          <w:szCs w:val="20"/>
        </w:rPr>
      </w:pPr>
    </w:p>
    <w:p w14:paraId="16D38ABC" w14:textId="77777777" w:rsidR="0010693D" w:rsidRDefault="0010693D" w:rsidP="0064149A">
      <w:pPr>
        <w:rPr>
          <w:rFonts w:cs="Arial"/>
          <w:szCs w:val="20"/>
        </w:rPr>
      </w:pPr>
    </w:p>
    <w:p w14:paraId="18C37E5B" w14:textId="77777777" w:rsidR="0010693D" w:rsidRPr="002C2C41" w:rsidRDefault="0010693D" w:rsidP="0064149A">
      <w:pPr>
        <w:rPr>
          <w:rFonts w:cs="Arial"/>
          <w:szCs w:val="20"/>
        </w:rPr>
      </w:pPr>
    </w:p>
    <w:p w14:paraId="6413C03A" w14:textId="77777777" w:rsidR="00AE77DB" w:rsidRPr="00C02553" w:rsidRDefault="00AE77DB" w:rsidP="005A2F1E">
      <w:pPr>
        <w:pStyle w:val="Heading1"/>
        <w:rPr>
          <w:lang w:val="en-US"/>
        </w:rPr>
      </w:pPr>
      <w:r w:rsidRPr="00C02553">
        <w:rPr>
          <w:lang w:val="en-US"/>
        </w:rPr>
        <w:lastRenderedPageBreak/>
        <w:t>Denial Criteria</w:t>
      </w:r>
    </w:p>
    <w:p w14:paraId="730C2B10" w14:textId="77777777" w:rsidR="00904D7A" w:rsidRPr="00C722C9" w:rsidRDefault="00904D7A" w:rsidP="00C722C9">
      <w:pPr>
        <w:pStyle w:val="ListParagraph"/>
      </w:pPr>
      <w:r w:rsidRPr="00C722C9">
        <w:t>Therapy will deny with presence of one of the following:</w:t>
      </w:r>
    </w:p>
    <w:p w14:paraId="27CE8865" w14:textId="77777777" w:rsidR="005472B9" w:rsidRPr="0018128A" w:rsidRDefault="005472B9" w:rsidP="005472B9">
      <w:pPr>
        <w:pStyle w:val="ListParagraph"/>
        <w:numPr>
          <w:ilvl w:val="1"/>
          <w:numId w:val="6"/>
        </w:numPr>
        <w:tabs>
          <w:tab w:val="left" w:pos="5195"/>
        </w:tabs>
        <w:rPr>
          <w:rFonts w:cs="Arial"/>
          <w:noProof/>
          <w:szCs w:val="20"/>
        </w:rPr>
      </w:pPr>
      <w:r w:rsidRPr="0018128A">
        <w:rPr>
          <w:rFonts w:cs="Arial"/>
          <w:noProof/>
          <w:szCs w:val="20"/>
        </w:rPr>
        <w:t>Participant is locked into a hospice provider (provider type 82)</w:t>
      </w:r>
      <w:r>
        <w:rPr>
          <w:rFonts w:cs="Arial"/>
          <w:noProof/>
          <w:szCs w:val="20"/>
        </w:rPr>
        <w:t xml:space="preserve">; </w:t>
      </w:r>
      <w:r w:rsidRPr="002A243A">
        <w:rPr>
          <w:rFonts w:cs="Arial"/>
          <w:b/>
          <w:bCs/>
          <w:noProof/>
          <w:szCs w:val="20"/>
        </w:rPr>
        <w:t>AND</w:t>
      </w:r>
    </w:p>
    <w:p w14:paraId="39534DC1" w14:textId="77777777" w:rsidR="005472B9" w:rsidRDefault="005472B9" w:rsidP="005472B9">
      <w:pPr>
        <w:pStyle w:val="ListParagraph"/>
        <w:numPr>
          <w:ilvl w:val="1"/>
          <w:numId w:val="6"/>
        </w:numPr>
        <w:tabs>
          <w:tab w:val="left" w:pos="5195"/>
        </w:tabs>
        <w:rPr>
          <w:rFonts w:cs="Arial"/>
          <w:noProof/>
          <w:szCs w:val="20"/>
        </w:rPr>
      </w:pPr>
      <w:r w:rsidRPr="0018128A">
        <w:rPr>
          <w:rFonts w:cs="Arial"/>
          <w:noProof/>
          <w:szCs w:val="20"/>
        </w:rPr>
        <w:t>Claim is for a product used for the palliation and management of a terminal illness</w:t>
      </w:r>
      <w:r>
        <w:rPr>
          <w:rFonts w:cs="Arial"/>
          <w:noProof/>
          <w:szCs w:val="20"/>
        </w:rPr>
        <w:t>:</w:t>
      </w:r>
    </w:p>
    <w:p w14:paraId="4BDAAE65"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Antibiotics</w:t>
      </w:r>
    </w:p>
    <w:p w14:paraId="1F6124E5"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Analgesics</w:t>
      </w:r>
    </w:p>
    <w:p w14:paraId="6CD1349D"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Anti-anemics</w:t>
      </w:r>
    </w:p>
    <w:p w14:paraId="30DC598E"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Anti-emetics</w:t>
      </w:r>
    </w:p>
    <w:p w14:paraId="1064736E"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Anti-fungals</w:t>
      </w:r>
    </w:p>
    <w:p w14:paraId="78AD0A70"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Ammonia inhibitors</w:t>
      </w:r>
    </w:p>
    <w:p w14:paraId="217675D5"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Antineoplastics/Hormonal neoplastics</w:t>
      </w:r>
    </w:p>
    <w:p w14:paraId="58932BB1"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Antispasmodics/Motility</w:t>
      </w:r>
    </w:p>
    <w:p w14:paraId="210011CD"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Antivirals</w:t>
      </w:r>
    </w:p>
    <w:p w14:paraId="1AB7998D"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Anxiolytics</w:t>
      </w:r>
    </w:p>
    <w:p w14:paraId="108A72EB"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Digestants</w:t>
      </w:r>
    </w:p>
    <w:p w14:paraId="2A6759CB"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Expectorants and cough products</w:t>
      </w:r>
    </w:p>
    <w:p w14:paraId="59EC91F8"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Glucocorticoids</w:t>
      </w:r>
    </w:p>
    <w:p w14:paraId="63A8AD09"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Lactulose</w:t>
      </w:r>
    </w:p>
    <w:p w14:paraId="59031938"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Laxatives/Cathartics</w:t>
      </w:r>
    </w:p>
    <w:p w14:paraId="66EB6936"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Palliative medications (mucositis/stomatitis)</w:t>
      </w:r>
    </w:p>
    <w:p w14:paraId="70301DB9"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Sedatives/Hypnotics</w:t>
      </w:r>
    </w:p>
    <w:p w14:paraId="00F12BA3" w14:textId="77777777" w:rsidR="005472B9" w:rsidRPr="007730C5" w:rsidRDefault="005472B9" w:rsidP="005472B9">
      <w:pPr>
        <w:pStyle w:val="ListParagraph"/>
        <w:numPr>
          <w:ilvl w:val="2"/>
          <w:numId w:val="6"/>
        </w:numPr>
        <w:tabs>
          <w:tab w:val="left" w:pos="5195"/>
        </w:tabs>
        <w:rPr>
          <w:rFonts w:cs="Arial"/>
          <w:noProof/>
          <w:szCs w:val="20"/>
        </w:rPr>
      </w:pPr>
      <w:r w:rsidRPr="007730C5">
        <w:rPr>
          <w:rFonts w:cs="Arial"/>
          <w:noProof/>
          <w:szCs w:val="20"/>
        </w:rPr>
        <w:t>Thickening agents</w:t>
      </w:r>
    </w:p>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0E998FC1" w:rsidR="00BC5635" w:rsidRPr="00C02553" w:rsidRDefault="00C26001" w:rsidP="00696E3A">
      <w:r w:rsidRPr="00696E3A">
        <w:rPr>
          <w:b/>
          <w:bCs/>
        </w:rPr>
        <w:t>Denial:</w:t>
      </w:r>
      <w:r w:rsidR="00074464" w:rsidRPr="00C02553">
        <w:t xml:space="preserve"> </w:t>
      </w:r>
      <w:r w:rsidR="00973BD6" w:rsidRPr="00973BD6">
        <w:t xml:space="preserve">Exception Code </w:t>
      </w:r>
      <w:r w:rsidR="00EB51CC">
        <w:rPr>
          <w:rFonts w:cs="Arial"/>
          <w:szCs w:val="20"/>
        </w:rPr>
        <w:t>“0713” (Hospice Fiscal Edit)</w:t>
      </w:r>
    </w:p>
    <w:p w14:paraId="297E1B37" w14:textId="6002D46A" w:rsidR="002A02F4" w:rsidRPr="00C02553" w:rsidRDefault="00C26001" w:rsidP="00696E3A">
      <w:r w:rsidRPr="00696E3A">
        <w:rPr>
          <w:b/>
          <w:bCs/>
        </w:rPr>
        <w:t>Rule Type:</w:t>
      </w:r>
      <w:r w:rsidR="00074464" w:rsidRPr="00C02553">
        <w:t xml:space="preserve"> </w:t>
      </w:r>
      <w:r w:rsidR="00126B60">
        <w:t>PD</w:t>
      </w:r>
    </w:p>
    <w:p w14:paraId="5D43D3D3" w14:textId="6DF33378" w:rsidR="00343D6B" w:rsidRPr="00C02553" w:rsidRDefault="00343D6B" w:rsidP="00696E3A">
      <w:r w:rsidRPr="00696E3A">
        <w:rPr>
          <w:b/>
          <w:bCs/>
        </w:rPr>
        <w:t>Default Approval Period:</w:t>
      </w:r>
      <w:r w:rsidR="00973BD6">
        <w:t xml:space="preserve"> </w:t>
      </w:r>
      <w:r w:rsidR="00EB51CC">
        <w:t>7 days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FA1E7DB" w14:textId="1A888BEE" w:rsidR="00777CA4" w:rsidRPr="007E16CF" w:rsidRDefault="00A91957" w:rsidP="00A91957">
      <w:pPr>
        <w:pStyle w:val="Header"/>
        <w:numPr>
          <w:ilvl w:val="0"/>
          <w:numId w:val="15"/>
        </w:numPr>
        <w:rPr>
          <w:rFonts w:cs="Arial"/>
          <w:color w:val="333333"/>
          <w:sz w:val="20"/>
          <w:shd w:val="clear" w:color="auto" w:fill="FFFFFF"/>
        </w:rPr>
      </w:pPr>
      <w:r w:rsidRPr="007E16CF">
        <w:rPr>
          <w:rStyle w:val="normaltextrun"/>
          <w:rFonts w:cs="Arial"/>
          <w:color w:val="333333"/>
          <w:sz w:val="20"/>
          <w:shd w:val="clear" w:color="auto" w:fill="FFFFFF"/>
        </w:rPr>
        <w:t xml:space="preserve">MO HealthNet. State of Missouri Hospice Manual. </w:t>
      </w:r>
      <w:hyperlink r:id="rId11" w:tooltip="Link to MOHealthNet Hospice Manual" w:history="1">
        <w:r w:rsidRPr="007E16CF">
          <w:rPr>
            <w:rStyle w:val="Hyperlink"/>
            <w:rFonts w:cs="Arial"/>
            <w:sz w:val="20"/>
            <w:shd w:val="clear" w:color="auto" w:fill="FFFFFF"/>
          </w:rPr>
          <w:t>https://mydss.mo.gov/media/pdf/hospice-manual</w:t>
        </w:r>
      </w:hyperlink>
      <w:r w:rsidRPr="007E16CF">
        <w:rPr>
          <w:rStyle w:val="normaltextrun"/>
          <w:rFonts w:cs="Arial"/>
          <w:color w:val="333333"/>
          <w:sz w:val="20"/>
          <w:shd w:val="clear" w:color="auto" w:fill="FFFFFF"/>
        </w:rPr>
        <w:t xml:space="preserve">. Accessed April 23, 2025. </w:t>
      </w:r>
    </w:p>
    <w:sectPr w:rsidR="00777CA4" w:rsidRPr="007E16CF"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3536" w14:textId="77777777" w:rsidR="00AE3DFC" w:rsidRPr="00C02553" w:rsidRDefault="00AE3DFC" w:rsidP="00AE77DB">
      <w:r w:rsidRPr="00C02553">
        <w:separator/>
      </w:r>
    </w:p>
  </w:endnote>
  <w:endnote w:type="continuationSeparator" w:id="0">
    <w:p w14:paraId="4D6004B1" w14:textId="77777777" w:rsidR="00AE3DFC" w:rsidRPr="00C02553" w:rsidRDefault="00AE3DFC" w:rsidP="00AE77DB">
      <w:r w:rsidRPr="00C02553">
        <w:continuationSeparator/>
      </w:r>
    </w:p>
  </w:endnote>
  <w:endnote w:type="continuationNotice" w:id="1">
    <w:p w14:paraId="725E5F12" w14:textId="77777777" w:rsidR="00AE3DFC" w:rsidRPr="00C02553" w:rsidRDefault="00AE3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EFE6" w14:textId="77777777" w:rsidR="00AE3DFC" w:rsidRPr="00C02553" w:rsidRDefault="00AE3DFC" w:rsidP="00AE77DB">
      <w:r w:rsidRPr="00C02553">
        <w:separator/>
      </w:r>
    </w:p>
  </w:footnote>
  <w:footnote w:type="continuationSeparator" w:id="0">
    <w:p w14:paraId="5C043E46" w14:textId="77777777" w:rsidR="00AE3DFC" w:rsidRPr="00C02553" w:rsidRDefault="00AE3DFC" w:rsidP="00AE77DB">
      <w:r w:rsidRPr="00C02553">
        <w:continuationSeparator/>
      </w:r>
    </w:p>
  </w:footnote>
  <w:footnote w:type="continuationNotice" w:id="1">
    <w:p w14:paraId="10174964" w14:textId="77777777" w:rsidR="00AE3DFC" w:rsidRPr="00C02553" w:rsidRDefault="00AE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7A103B18"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BB802AD"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1597C293"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70805"/>
    <w:multiLevelType w:val="hybridMultilevel"/>
    <w:tmpl w:val="97B0A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9BB60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5"/>
  </w:num>
  <w:num w:numId="3" w16cid:durableId="1729067566">
    <w:abstractNumId w:val="4"/>
  </w:num>
  <w:num w:numId="4" w16cid:durableId="320159068">
    <w:abstractNumId w:val="7"/>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0"/>
  </w:num>
  <w:num w:numId="10" w16cid:durableId="917518096">
    <w:abstractNumId w:val="8"/>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2129468028">
    <w:abstractNumId w:val="9"/>
  </w:num>
  <w:num w:numId="16" w16cid:durableId="98501518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0693D"/>
    <w:rsid w:val="001123CA"/>
    <w:rsid w:val="00112FC7"/>
    <w:rsid w:val="00125F5F"/>
    <w:rsid w:val="00126951"/>
    <w:rsid w:val="00126B60"/>
    <w:rsid w:val="00127EF6"/>
    <w:rsid w:val="001310AD"/>
    <w:rsid w:val="001314A5"/>
    <w:rsid w:val="00132C7F"/>
    <w:rsid w:val="00144DBE"/>
    <w:rsid w:val="00152C8B"/>
    <w:rsid w:val="0015636A"/>
    <w:rsid w:val="00172053"/>
    <w:rsid w:val="00177A80"/>
    <w:rsid w:val="00183C71"/>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5161"/>
    <w:rsid w:val="002F690F"/>
    <w:rsid w:val="0030301F"/>
    <w:rsid w:val="00303B21"/>
    <w:rsid w:val="00313701"/>
    <w:rsid w:val="00314430"/>
    <w:rsid w:val="00316188"/>
    <w:rsid w:val="003171AF"/>
    <w:rsid w:val="00317469"/>
    <w:rsid w:val="003176A1"/>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F227C"/>
    <w:rsid w:val="003F488E"/>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472B9"/>
    <w:rsid w:val="00551668"/>
    <w:rsid w:val="005572D5"/>
    <w:rsid w:val="00566BE4"/>
    <w:rsid w:val="00570D21"/>
    <w:rsid w:val="00571269"/>
    <w:rsid w:val="00573856"/>
    <w:rsid w:val="00576113"/>
    <w:rsid w:val="00580640"/>
    <w:rsid w:val="00590652"/>
    <w:rsid w:val="0059235F"/>
    <w:rsid w:val="00596936"/>
    <w:rsid w:val="005A2F1E"/>
    <w:rsid w:val="005A4232"/>
    <w:rsid w:val="005C0973"/>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31EC"/>
    <w:rsid w:val="00677C65"/>
    <w:rsid w:val="00693152"/>
    <w:rsid w:val="00694FAE"/>
    <w:rsid w:val="00696E3A"/>
    <w:rsid w:val="006A0834"/>
    <w:rsid w:val="006A4BBD"/>
    <w:rsid w:val="006A52F1"/>
    <w:rsid w:val="006B561D"/>
    <w:rsid w:val="006B6D5D"/>
    <w:rsid w:val="006D2330"/>
    <w:rsid w:val="006E0F8B"/>
    <w:rsid w:val="006E12F7"/>
    <w:rsid w:val="006E29D7"/>
    <w:rsid w:val="006F6D62"/>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81DF2"/>
    <w:rsid w:val="00787F78"/>
    <w:rsid w:val="00792DF0"/>
    <w:rsid w:val="0079438F"/>
    <w:rsid w:val="007A3034"/>
    <w:rsid w:val="007A527E"/>
    <w:rsid w:val="007A53E7"/>
    <w:rsid w:val="007A78F7"/>
    <w:rsid w:val="007B3333"/>
    <w:rsid w:val="007B379F"/>
    <w:rsid w:val="007B37D6"/>
    <w:rsid w:val="007B5D30"/>
    <w:rsid w:val="007D2920"/>
    <w:rsid w:val="007D42DD"/>
    <w:rsid w:val="007D7285"/>
    <w:rsid w:val="007E16CF"/>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1CD2"/>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05DE"/>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91957"/>
    <w:rsid w:val="00AA70AB"/>
    <w:rsid w:val="00AB0B9F"/>
    <w:rsid w:val="00AB1713"/>
    <w:rsid w:val="00AB63BE"/>
    <w:rsid w:val="00AC1EBC"/>
    <w:rsid w:val="00AC2599"/>
    <w:rsid w:val="00AC2DE9"/>
    <w:rsid w:val="00AD2C5F"/>
    <w:rsid w:val="00AE1481"/>
    <w:rsid w:val="00AE27F9"/>
    <w:rsid w:val="00AE3DFC"/>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599"/>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2DB6"/>
    <w:rsid w:val="00C56B1F"/>
    <w:rsid w:val="00C61B52"/>
    <w:rsid w:val="00C62745"/>
    <w:rsid w:val="00C654CA"/>
    <w:rsid w:val="00C722C9"/>
    <w:rsid w:val="00C763BD"/>
    <w:rsid w:val="00C779A8"/>
    <w:rsid w:val="00C82E19"/>
    <w:rsid w:val="00C96873"/>
    <w:rsid w:val="00CA1735"/>
    <w:rsid w:val="00CA3C4B"/>
    <w:rsid w:val="00CA7252"/>
    <w:rsid w:val="00CB2C5A"/>
    <w:rsid w:val="00CD0B9B"/>
    <w:rsid w:val="00CE0C1C"/>
    <w:rsid w:val="00CE34AF"/>
    <w:rsid w:val="00CE43EA"/>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67027"/>
    <w:rsid w:val="00E72221"/>
    <w:rsid w:val="00E83428"/>
    <w:rsid w:val="00E84C58"/>
    <w:rsid w:val="00E873A5"/>
    <w:rsid w:val="00E90D11"/>
    <w:rsid w:val="00E915E5"/>
    <w:rsid w:val="00EA427D"/>
    <w:rsid w:val="00EB0367"/>
    <w:rsid w:val="00EB459C"/>
    <w:rsid w:val="00EB4FB9"/>
    <w:rsid w:val="00EB51CC"/>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FollowedHyperlink">
    <w:name w:val="FollowedHyperlink"/>
    <w:basedOn w:val="DefaultParagraphFont"/>
    <w:uiPriority w:val="99"/>
    <w:semiHidden/>
    <w:unhideWhenUsed/>
    <w:rsid w:val="00A919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dss.mo.gov/media/pdf/hospice-manu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74CCB5E2-FD8F-4A79-A4D1-690F2AF52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1e4a61f8-8acd-406c-9ffc-156367cd3fec"/>
    <ds:schemaRef ds:uri="54a97082-99d0-4cd5-8c93-88769c19209d"/>
    <ds:schemaRef ds:uri="http://schemas.microsoft.com/sharepoint/v3"/>
    <ds:schemaRef ds:uri="f5eefb00-5952-4f7e-8cf8-96f81cfadd01"/>
    <ds:schemaRef ds:uri="aba01ddc-ae9a-4c9e-819c-7140b4239cd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FE WEB</dc:title>
  <dc:creator>DMS</dc:creator>
  <cp:lastModifiedBy>Heriford, Katherine</cp:lastModifiedBy>
  <cp:revision>2</cp:revision>
  <cp:lastPrinted>2018-10-31T20:17:00Z</cp:lastPrinted>
  <dcterms:created xsi:type="dcterms:W3CDTF">2026-02-11T19:54:00Z</dcterms:created>
  <dcterms:modified xsi:type="dcterms:W3CDTF">2026-02-11T19:54:00Z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