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5438917C" w:rsidR="004C5767" w:rsidRPr="008859E1" w:rsidRDefault="004C5767" w:rsidP="00D27533">
      <w:pPr>
        <w:pStyle w:val="tbody"/>
        <w:rPr>
          <w:b w:val="0"/>
          <w:bCs/>
        </w:rPr>
      </w:pPr>
      <w:r w:rsidRPr="00C02553">
        <w:t>Drug/Drug Class:</w:t>
      </w:r>
      <w:r w:rsidR="003B4820" w:rsidRPr="00573856">
        <w:rPr>
          <w:b w:val="0"/>
          <w:bCs/>
        </w:rPr>
        <w:t xml:space="preserve"> </w:t>
      </w:r>
      <w:r w:rsidR="007147A4" w:rsidRPr="007147A4">
        <w:rPr>
          <w:b w:val="0"/>
          <w:bCs/>
        </w:rPr>
        <w:t>Antiretroviral Therapy (ART) PDL Edit</w:t>
      </w:r>
    </w:p>
    <w:p w14:paraId="7AD7FFCE" w14:textId="64560930" w:rsidR="004C5767" w:rsidRPr="00C02553" w:rsidRDefault="004C5767" w:rsidP="00D27533">
      <w:pPr>
        <w:pStyle w:val="tbody"/>
      </w:pPr>
      <w:r w:rsidRPr="00C02553">
        <w:t>First Implementation Date:</w:t>
      </w:r>
      <w:r w:rsidRPr="00573856">
        <w:rPr>
          <w:b w:val="0"/>
          <w:bCs/>
        </w:rPr>
        <w:t xml:space="preserve"> </w:t>
      </w:r>
      <w:r w:rsidR="007147A4" w:rsidRPr="007147A4">
        <w:rPr>
          <w:b w:val="0"/>
          <w:bCs/>
        </w:rPr>
        <w:t>April 7, 2022</w:t>
      </w:r>
    </w:p>
    <w:p w14:paraId="4B7D760D" w14:textId="77F84E4D" w:rsidR="004C5767" w:rsidRPr="00057F84" w:rsidRDefault="00F41F69" w:rsidP="70E341D6">
      <w:pPr>
        <w:pStyle w:val="tbody"/>
        <w:rPr>
          <w:b w:val="0"/>
        </w:rPr>
      </w:pPr>
      <w:r>
        <w:t>Propo</w:t>
      </w:r>
      <w:r w:rsidR="004C5767">
        <w:t>sed Date:</w:t>
      </w:r>
      <w:r w:rsidR="00065C22">
        <w:t xml:space="preserve"> </w:t>
      </w:r>
      <w:r w:rsidR="00057F84">
        <w:rPr>
          <w:b w:val="0"/>
        </w:rPr>
        <w:t>January 20,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5BDD845C" w:rsidR="004C5767" w:rsidRPr="00D27533" w:rsidRDefault="004C5767" w:rsidP="00D27533">
      <w:pPr>
        <w:pStyle w:val="tbody"/>
        <w:rPr>
          <w:b w:val="0"/>
          <w:bCs/>
          <w:spacing w:val="-3"/>
        </w:rPr>
      </w:pPr>
      <w:r w:rsidRPr="00C02553">
        <w:t xml:space="preserve">Criteria Status: </w:t>
      </w:r>
      <w:r w:rsidR="00566BE4">
        <w:rPr>
          <w:b w:val="0"/>
          <w:bCs/>
          <w:spacing w:val="-3"/>
        </w:rPr>
        <w:t>Revision of 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6CABFD75" w14:textId="77777777" w:rsidR="007147A4" w:rsidRPr="009444FB" w:rsidRDefault="007147A4" w:rsidP="007147A4">
      <w:pPr>
        <w:pStyle w:val="Header"/>
        <w:rPr>
          <w:rFonts w:cs="Arial"/>
          <w:b/>
          <w:bCs/>
          <w:color w:val="0070C0"/>
          <w:spacing w:val="-3"/>
          <w:sz w:val="20"/>
        </w:rPr>
      </w:pPr>
      <w:r w:rsidRPr="710E00A5">
        <w:rPr>
          <w:rFonts w:cs="Arial"/>
          <w:spacing w:val="-3"/>
          <w:sz w:val="20"/>
        </w:rPr>
        <w:t xml:space="preserve">Human immunodeficiency virus (HIV) is a blood-borne virus that attacks the body’s immune system and, if left untreated, can lead to acquired immunodeficiency syndrome (AIDS). HIV is typically transmitted via sexual intercourse, sharing intravenous drug equipment, and mother-to-child transmission. The Centers for Disease Control and Prevention (CDC) classifies HIV infection into 3 stages: Stage 1 (Acute HIV Infection), Stage 2 (Chronic HIV Infection), and Stage 3 (AIDS). Signs and symptoms can present at any of the stages of HIV infection and may include fever, malaise, rash, lymphadenopathy, and severe infections and/or opportunistic malignancies. By the end of 2021, there were an estimated 1.2 million people infected with HIV in the United States (U.S.), with 13% of those undiagnosed. </w:t>
      </w:r>
    </w:p>
    <w:p w14:paraId="1D2750F7" w14:textId="77777777" w:rsidR="007147A4" w:rsidRDefault="007147A4" w:rsidP="007147A4">
      <w:pPr>
        <w:pStyle w:val="Header"/>
        <w:rPr>
          <w:rFonts w:cs="Arial"/>
          <w:spacing w:val="-3"/>
          <w:sz w:val="20"/>
        </w:rPr>
      </w:pPr>
    </w:p>
    <w:p w14:paraId="0859D718" w14:textId="77777777" w:rsidR="007147A4" w:rsidRDefault="007147A4" w:rsidP="007147A4">
      <w:pPr>
        <w:pStyle w:val="Header"/>
        <w:rPr>
          <w:rFonts w:cs="Arial"/>
          <w:spacing w:val="-3"/>
          <w:sz w:val="20"/>
        </w:rPr>
      </w:pPr>
      <w:r>
        <w:rPr>
          <w:rFonts w:cs="Arial"/>
          <w:spacing w:val="-3"/>
          <w:sz w:val="20"/>
        </w:rPr>
        <w:t xml:space="preserve">Antiretroviral therapy was first introduced in 1987 for the treatment of HIV infection. Treatment has drastically improved since and combination ART has greatly reduced HIV-associated morbidity and mortality. Patients currently living with HIV without other significant comorbidities and who are receiving treatment can have life expectancies approaching that of the general population. ART is also effective at preventing HIV transmission in patients who are at higher risk of being exposed to HIV through sexual contact or injection drug use. The U.S. Department of Health and Human Services (DHHS) published updated guidelines </w:t>
      </w:r>
      <w:r w:rsidRPr="007A5F0F">
        <w:rPr>
          <w:rFonts w:cs="Arial"/>
          <w:spacing w:val="-3"/>
          <w:sz w:val="20"/>
        </w:rPr>
        <w:t>in 2021 which</w:t>
      </w:r>
      <w:r>
        <w:rPr>
          <w:rFonts w:cs="Arial"/>
          <w:spacing w:val="-3"/>
          <w:sz w:val="20"/>
        </w:rPr>
        <w:t xml:space="preserve"> recommend combination regimens for people living with HIV infection. </w:t>
      </w:r>
    </w:p>
    <w:p w14:paraId="7ACECC9F" w14:textId="77777777" w:rsidR="00B56DCC" w:rsidRDefault="00B56DCC"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4BA39228" w14:textId="363F4AA5" w:rsidR="005414B7" w:rsidRPr="005414B7" w:rsidRDefault="008E1682" w:rsidP="00696E3A">
      <w:pPr>
        <w:rPr>
          <w:b/>
          <w:bCs/>
          <w:caps/>
        </w:rPr>
      </w:pPr>
      <w:r>
        <w:rPr>
          <w:b/>
          <w:bCs/>
          <w:caps/>
        </w:rPr>
        <w:t>Treatment: Single-tablet regimens</w:t>
      </w:r>
    </w:p>
    <w:p w14:paraId="6CBEE541" w14:textId="7F857298" w:rsidR="00E90D11" w:rsidRDefault="009A0FB1" w:rsidP="00696E3A">
      <w:pPr>
        <w:rPr>
          <w:b/>
          <w:bCs/>
        </w:rPr>
      </w:pPr>
      <w:r>
        <w:rPr>
          <w:b/>
          <w:bCs/>
        </w:rPr>
        <w:t>Preferred Agents</w:t>
      </w:r>
    </w:p>
    <w:p w14:paraId="4FC54E93" w14:textId="77777777" w:rsidR="005414B7" w:rsidRPr="00834449" w:rsidRDefault="005414B7" w:rsidP="005414B7">
      <w:pPr>
        <w:pStyle w:val="ListParagraph"/>
      </w:pPr>
      <w:r w:rsidRPr="00834449">
        <w:t>Biktarvy</w:t>
      </w:r>
      <w:r w:rsidRPr="00834449">
        <w:rPr>
          <w:vertAlign w:val="superscript"/>
        </w:rPr>
        <w:t>®</w:t>
      </w:r>
    </w:p>
    <w:p w14:paraId="316488BE" w14:textId="1A1CC0F1" w:rsidR="008E1682" w:rsidRPr="00836450" w:rsidRDefault="008E1682" w:rsidP="008E1682">
      <w:pPr>
        <w:pStyle w:val="ListParagraph"/>
        <w:rPr>
          <w:b/>
          <w:bCs/>
          <w:color w:val="1F497D" w:themeColor="text2"/>
        </w:rPr>
      </w:pPr>
      <w:r w:rsidRPr="00836450">
        <w:rPr>
          <w:b/>
          <w:bCs/>
          <w:color w:val="1F497D" w:themeColor="text2"/>
        </w:rPr>
        <w:t>Delstrigo</w:t>
      </w:r>
      <w:r w:rsidRPr="00836450">
        <w:rPr>
          <w:b/>
          <w:bCs/>
          <w:color w:val="1F497D" w:themeColor="text2"/>
          <w:vertAlign w:val="superscript"/>
        </w:rPr>
        <w:t>®</w:t>
      </w:r>
    </w:p>
    <w:p w14:paraId="7C296BB6" w14:textId="5C229885" w:rsidR="00500B45" w:rsidRPr="00836450" w:rsidRDefault="00500B45" w:rsidP="00500B45">
      <w:pPr>
        <w:pStyle w:val="ListParagraph"/>
        <w:rPr>
          <w:b/>
          <w:bCs/>
          <w:color w:val="1F497D" w:themeColor="text2"/>
          <w:lang w:val="it-IT"/>
        </w:rPr>
      </w:pPr>
      <w:r w:rsidRPr="00836450">
        <w:rPr>
          <w:b/>
          <w:bCs/>
          <w:color w:val="1F497D" w:themeColor="text2"/>
          <w:lang w:val="it-IT"/>
        </w:rPr>
        <w:t>Efavirenz/Emtricitabine/Tenofovir disoproxil (gen Atripla</w:t>
      </w:r>
      <w:r w:rsidRPr="00836450">
        <w:rPr>
          <w:b/>
          <w:bCs/>
          <w:color w:val="1F497D" w:themeColor="text2"/>
          <w:vertAlign w:val="superscript"/>
          <w:lang w:val="it-IT"/>
        </w:rPr>
        <w:t>®</w:t>
      </w:r>
      <w:r w:rsidRPr="00836450">
        <w:rPr>
          <w:b/>
          <w:bCs/>
          <w:color w:val="1F497D" w:themeColor="text2"/>
          <w:lang w:val="it-IT"/>
        </w:rPr>
        <w:t>)</w:t>
      </w:r>
    </w:p>
    <w:p w14:paraId="5F642DCC" w14:textId="77777777" w:rsidR="005414B7" w:rsidRPr="00834449" w:rsidRDefault="005414B7" w:rsidP="005414B7">
      <w:pPr>
        <w:pStyle w:val="ListParagraph"/>
      </w:pPr>
      <w:r w:rsidRPr="00834449">
        <w:t>Odefsey</w:t>
      </w:r>
      <w:r w:rsidRPr="00834449">
        <w:rPr>
          <w:vertAlign w:val="superscript"/>
        </w:rPr>
        <w:t>®</w:t>
      </w:r>
    </w:p>
    <w:p w14:paraId="25CD544E" w14:textId="3641FE48" w:rsidR="00500B45" w:rsidRPr="007F09F1" w:rsidRDefault="00500B45" w:rsidP="00500B45">
      <w:pPr>
        <w:pStyle w:val="ListParagraph"/>
        <w:rPr>
          <w:b/>
          <w:bCs/>
          <w:color w:val="1F497D" w:themeColor="text2"/>
        </w:rPr>
      </w:pPr>
      <w:r w:rsidRPr="007F09F1">
        <w:rPr>
          <w:b/>
          <w:bCs/>
          <w:color w:val="1F497D" w:themeColor="text2"/>
        </w:rPr>
        <w:t>Symfi</w:t>
      </w:r>
      <w:r w:rsidRPr="007F09F1">
        <w:rPr>
          <w:b/>
          <w:bCs/>
          <w:color w:val="1F497D" w:themeColor="text2"/>
          <w:vertAlign w:val="superscript"/>
        </w:rPr>
        <w:t>®</w:t>
      </w:r>
    </w:p>
    <w:p w14:paraId="4511D036" w14:textId="77777777" w:rsidR="00D61BED" w:rsidRDefault="005414B7" w:rsidP="005414B7">
      <w:pPr>
        <w:pStyle w:val="ListParagraph"/>
      </w:pPr>
      <w:r w:rsidRPr="00834449">
        <w:t xml:space="preserve">Triumeq </w:t>
      </w:r>
    </w:p>
    <w:p w14:paraId="1B21829C" w14:textId="0C4A2216" w:rsidR="00846FA4" w:rsidRPr="00834449" w:rsidRDefault="00D61BED" w:rsidP="005414B7">
      <w:pPr>
        <w:pStyle w:val="ListParagraph"/>
      </w:pPr>
      <w:r>
        <w:t xml:space="preserve">Triumeq </w:t>
      </w:r>
      <w:r w:rsidR="005414B7" w:rsidRPr="00834449">
        <w:t>PD</w:t>
      </w:r>
      <w:r w:rsidR="005414B7" w:rsidRPr="00834449">
        <w:rPr>
          <w:vertAlign w:val="superscript"/>
        </w:rPr>
        <w:t xml:space="preserve"> </w:t>
      </w:r>
      <w:r w:rsidR="00846FA4" w:rsidRPr="00834449">
        <w:rPr>
          <w:vertAlign w:val="superscript"/>
        </w:rPr>
        <w:t>®</w:t>
      </w:r>
    </w:p>
    <w:p w14:paraId="47320590" w14:textId="77777777" w:rsidR="00FD34EA" w:rsidRDefault="00FD34EA" w:rsidP="00696E3A">
      <w:pPr>
        <w:rPr>
          <w:rFonts w:cs="Arial"/>
          <w:szCs w:val="20"/>
        </w:rPr>
      </w:pPr>
    </w:p>
    <w:p w14:paraId="56404718" w14:textId="3D8A3385" w:rsidR="00846FA4" w:rsidRPr="00392C45" w:rsidRDefault="00392C45" w:rsidP="00846FA4">
      <w:pPr>
        <w:rPr>
          <w:b/>
          <w:bCs/>
          <w:color w:val="1F497D" w:themeColor="text2"/>
        </w:rPr>
      </w:pPr>
      <w:r>
        <w:rPr>
          <w:b/>
          <w:bCs/>
        </w:rPr>
        <w:t>Non-</w:t>
      </w:r>
      <w:r w:rsidR="00846FA4">
        <w:rPr>
          <w:b/>
          <w:bCs/>
        </w:rPr>
        <w:t>Preferred Agents</w:t>
      </w:r>
      <w:r>
        <w:rPr>
          <w:b/>
          <w:bCs/>
        </w:rPr>
        <w:t xml:space="preserve"> </w:t>
      </w:r>
    </w:p>
    <w:p w14:paraId="2DA65C88" w14:textId="77777777" w:rsidR="00C34BBB" w:rsidRPr="00834449" w:rsidRDefault="00C34BBB" w:rsidP="005414B7">
      <w:pPr>
        <w:pStyle w:val="ListParagraph"/>
      </w:pPr>
      <w:r w:rsidRPr="00834449">
        <w:t>Complera</w:t>
      </w:r>
      <w:r w:rsidRPr="00834449">
        <w:rPr>
          <w:vertAlign w:val="superscript"/>
        </w:rPr>
        <w:t>®</w:t>
      </w:r>
    </w:p>
    <w:p w14:paraId="623890B1" w14:textId="1CC4F370" w:rsidR="00C34BBB" w:rsidRPr="00834449" w:rsidRDefault="00C34BBB" w:rsidP="005414B7">
      <w:pPr>
        <w:pStyle w:val="ListParagraph"/>
      </w:pPr>
      <w:r w:rsidRPr="00834449">
        <w:t>Dovato</w:t>
      </w:r>
      <w:r w:rsidRPr="00834449">
        <w:rPr>
          <w:vertAlign w:val="superscript"/>
        </w:rPr>
        <w:t>®</w:t>
      </w:r>
    </w:p>
    <w:p w14:paraId="1F3848D4" w14:textId="3B6378A9" w:rsidR="00A2109B" w:rsidRDefault="00A2109B" w:rsidP="00A2109B">
      <w:pPr>
        <w:pStyle w:val="ListParagraph"/>
      </w:pPr>
      <w:r>
        <w:t>Efavirenz/Tenofovir disoproxil/Lamivudine (gen Symfi</w:t>
      </w:r>
      <w:r>
        <w:rPr>
          <w:vertAlign w:val="superscript"/>
        </w:rPr>
        <w:t>®</w:t>
      </w:r>
      <w:r>
        <w:t>)</w:t>
      </w:r>
    </w:p>
    <w:p w14:paraId="4D4EB027" w14:textId="28E38EC1" w:rsidR="00A2109B" w:rsidRDefault="00A2109B" w:rsidP="00A2109B">
      <w:pPr>
        <w:pStyle w:val="ListParagraph"/>
      </w:pPr>
      <w:r>
        <w:t>Efavirenz/Tenofovir disoproxil/Lamivudine (gen Symfi Lo</w:t>
      </w:r>
      <w:r>
        <w:rPr>
          <w:vertAlign w:val="superscript"/>
        </w:rPr>
        <w:t>®</w:t>
      </w:r>
      <w:r>
        <w:t>)</w:t>
      </w:r>
    </w:p>
    <w:p w14:paraId="5EC8986A" w14:textId="1499A8E0" w:rsidR="00A2109B" w:rsidRDefault="00A2109B" w:rsidP="00A2109B">
      <w:pPr>
        <w:pStyle w:val="ListParagraph"/>
      </w:pPr>
      <w:r>
        <w:lastRenderedPageBreak/>
        <w:t>Emtricitabine/Tenofovir disoproxil/Rilprivine (gen Complera</w:t>
      </w:r>
      <w:r>
        <w:rPr>
          <w:vertAlign w:val="superscript"/>
        </w:rPr>
        <w:t>®</w:t>
      </w:r>
      <w:r>
        <w:t>)</w:t>
      </w:r>
    </w:p>
    <w:p w14:paraId="2F13B47D" w14:textId="77777777" w:rsidR="00C34BBB" w:rsidRPr="00834449" w:rsidRDefault="00C34BBB" w:rsidP="005414B7">
      <w:pPr>
        <w:pStyle w:val="ListParagraph"/>
      </w:pPr>
      <w:r w:rsidRPr="00834449">
        <w:t>Genvoya</w:t>
      </w:r>
      <w:r w:rsidRPr="00834449">
        <w:rPr>
          <w:vertAlign w:val="superscript"/>
        </w:rPr>
        <w:t>®</w:t>
      </w:r>
    </w:p>
    <w:p w14:paraId="50F2E13A" w14:textId="102BB37F" w:rsidR="00C34BBB" w:rsidRPr="00834449" w:rsidRDefault="63DA92F4" w:rsidP="643A68B3">
      <w:pPr>
        <w:pStyle w:val="ListParagraph"/>
        <w:rPr>
          <w:vertAlign w:val="superscript"/>
        </w:rPr>
      </w:pPr>
      <w:r>
        <w:t>Juluca</w:t>
      </w:r>
      <w:r w:rsidRPr="643A68B3">
        <w:rPr>
          <w:vertAlign w:val="superscript"/>
        </w:rPr>
        <w:t>®</w:t>
      </w:r>
    </w:p>
    <w:p w14:paraId="21FFDF40" w14:textId="4AA7899E" w:rsidR="00C34BBB" w:rsidRPr="00834449" w:rsidRDefault="00C34BBB" w:rsidP="005414B7">
      <w:pPr>
        <w:pStyle w:val="ListParagraph"/>
      </w:pPr>
      <w:r>
        <w:t>Stribild</w:t>
      </w:r>
      <w:r w:rsidRPr="643A68B3">
        <w:rPr>
          <w:vertAlign w:val="superscript"/>
        </w:rPr>
        <w:t>®</w:t>
      </w:r>
    </w:p>
    <w:p w14:paraId="6B45D056" w14:textId="77777777" w:rsidR="005F0E90" w:rsidRDefault="005F0E90" w:rsidP="005F0E90">
      <w:pPr>
        <w:pStyle w:val="ListParagraph"/>
      </w:pPr>
      <w:r>
        <w:t>Symfi Lo</w:t>
      </w:r>
      <w:r>
        <w:rPr>
          <w:vertAlign w:val="superscript"/>
        </w:rPr>
        <w:t>®</w:t>
      </w:r>
    </w:p>
    <w:p w14:paraId="58A8526D" w14:textId="4B036A07" w:rsidR="00192984" w:rsidRPr="00834449" w:rsidRDefault="00192984" w:rsidP="00192984">
      <w:pPr>
        <w:pStyle w:val="ListParagraph"/>
      </w:pPr>
      <w:r w:rsidRPr="00834449">
        <w:t>Symtuza</w:t>
      </w:r>
      <w:r w:rsidRPr="00834449">
        <w:rPr>
          <w:vertAlign w:val="superscript"/>
        </w:rPr>
        <w:t>®</w:t>
      </w:r>
    </w:p>
    <w:p w14:paraId="37163991" w14:textId="77777777" w:rsidR="00CC66FE" w:rsidRDefault="00CC66FE" w:rsidP="00314430">
      <w:pPr>
        <w:rPr>
          <w:rFonts w:cs="Arial"/>
          <w:b/>
          <w:bCs/>
          <w:spacing w:val="-3"/>
          <w:szCs w:val="20"/>
        </w:rPr>
      </w:pPr>
    </w:p>
    <w:p w14:paraId="3F0A6FF5" w14:textId="4C680D6F" w:rsidR="00192984" w:rsidRDefault="00192984" w:rsidP="00314430">
      <w:pPr>
        <w:rPr>
          <w:rFonts w:cs="Arial"/>
          <w:b/>
          <w:bCs/>
          <w:spacing w:val="-3"/>
          <w:szCs w:val="20"/>
        </w:rPr>
      </w:pPr>
      <w:r>
        <w:rPr>
          <w:rFonts w:cs="Arial"/>
          <w:b/>
          <w:bCs/>
          <w:spacing w:val="-3"/>
          <w:szCs w:val="20"/>
        </w:rPr>
        <w:t>TRE</w:t>
      </w:r>
      <w:r w:rsidR="00F6303D">
        <w:rPr>
          <w:rFonts w:cs="Arial"/>
          <w:b/>
          <w:bCs/>
          <w:spacing w:val="-3"/>
          <w:szCs w:val="20"/>
        </w:rPr>
        <w:t>A</w:t>
      </w:r>
      <w:r>
        <w:rPr>
          <w:rFonts w:cs="Arial"/>
          <w:b/>
          <w:bCs/>
          <w:spacing w:val="-3"/>
          <w:szCs w:val="20"/>
        </w:rPr>
        <w:t>TMENT: MULTI-TABLET REGIMENS</w:t>
      </w:r>
    </w:p>
    <w:p w14:paraId="37313F8A" w14:textId="79E74A5B" w:rsidR="005414B7" w:rsidRPr="005414B7" w:rsidRDefault="005414B7" w:rsidP="00314430">
      <w:pPr>
        <w:rPr>
          <w:rFonts w:cs="Arial"/>
          <w:b/>
          <w:bCs/>
          <w:spacing w:val="-3"/>
          <w:szCs w:val="20"/>
        </w:rPr>
      </w:pPr>
      <w:r w:rsidRPr="005414B7">
        <w:rPr>
          <w:rFonts w:cs="Arial"/>
          <w:b/>
          <w:bCs/>
          <w:spacing w:val="-3"/>
          <w:szCs w:val="20"/>
        </w:rPr>
        <w:t>Preferred Agents</w:t>
      </w:r>
      <w:r w:rsidR="00CB03B1">
        <w:rPr>
          <w:rFonts w:cs="Arial"/>
          <w:b/>
          <w:bCs/>
          <w:spacing w:val="-3"/>
          <w:szCs w:val="20"/>
        </w:rPr>
        <w:t xml:space="preserve"> </w:t>
      </w:r>
    </w:p>
    <w:p w14:paraId="0A53C7B3" w14:textId="77777777" w:rsidR="00834449" w:rsidRPr="00834449" w:rsidRDefault="00834449" w:rsidP="00834449">
      <w:pPr>
        <w:numPr>
          <w:ilvl w:val="0"/>
          <w:numId w:val="21"/>
        </w:numPr>
        <w:tabs>
          <w:tab w:val="clear" w:pos="720"/>
          <w:tab w:val="num" w:pos="360"/>
        </w:tabs>
        <w:ind w:left="360"/>
      </w:pPr>
      <w:r w:rsidRPr="00834449">
        <w:t>Abacavir</w:t>
      </w:r>
    </w:p>
    <w:p w14:paraId="4B20CE6E" w14:textId="0C0FD323" w:rsidR="00834449" w:rsidRPr="00834449" w:rsidRDefault="00834449" w:rsidP="00834449">
      <w:pPr>
        <w:numPr>
          <w:ilvl w:val="0"/>
          <w:numId w:val="21"/>
        </w:numPr>
        <w:tabs>
          <w:tab w:val="clear" w:pos="720"/>
          <w:tab w:val="num" w:pos="360"/>
        </w:tabs>
        <w:ind w:left="360"/>
      </w:pPr>
      <w:r w:rsidRPr="00834449">
        <w:t>Abacavir/Lamivudine (gen Epzicom</w:t>
      </w:r>
      <w:r w:rsidRPr="00273369">
        <w:rPr>
          <w:vertAlign w:val="superscript"/>
        </w:rPr>
        <w:t>®</w:t>
      </w:r>
      <w:r w:rsidRPr="00834449">
        <w:t>)</w:t>
      </w:r>
    </w:p>
    <w:p w14:paraId="449C38D6" w14:textId="77777777" w:rsidR="00834449" w:rsidRPr="00834449" w:rsidRDefault="00834449" w:rsidP="00834449">
      <w:pPr>
        <w:numPr>
          <w:ilvl w:val="0"/>
          <w:numId w:val="21"/>
        </w:numPr>
        <w:tabs>
          <w:tab w:val="clear" w:pos="720"/>
          <w:tab w:val="num" w:pos="360"/>
        </w:tabs>
        <w:ind w:left="360"/>
      </w:pPr>
      <w:r w:rsidRPr="00834449">
        <w:t>Atazanavir Caps</w:t>
      </w:r>
    </w:p>
    <w:p w14:paraId="383D52A5" w14:textId="31C4C29C" w:rsidR="00834449" w:rsidRPr="00834449" w:rsidRDefault="00834449" w:rsidP="00834449">
      <w:pPr>
        <w:numPr>
          <w:ilvl w:val="0"/>
          <w:numId w:val="21"/>
        </w:numPr>
        <w:tabs>
          <w:tab w:val="clear" w:pos="720"/>
          <w:tab w:val="num" w:pos="360"/>
        </w:tabs>
        <w:ind w:left="360"/>
      </w:pPr>
      <w:r w:rsidRPr="00834449">
        <w:t>Cimduo</w:t>
      </w:r>
      <w:r w:rsidRPr="00273369">
        <w:rPr>
          <w:vertAlign w:val="superscript"/>
        </w:rPr>
        <w:t>®</w:t>
      </w:r>
      <w:r w:rsidRPr="00834449">
        <w:t xml:space="preserve"> </w:t>
      </w:r>
    </w:p>
    <w:p w14:paraId="239842CF" w14:textId="77777777" w:rsidR="00834449" w:rsidRPr="00834449" w:rsidRDefault="00834449" w:rsidP="00834449">
      <w:pPr>
        <w:numPr>
          <w:ilvl w:val="0"/>
          <w:numId w:val="21"/>
        </w:numPr>
        <w:tabs>
          <w:tab w:val="clear" w:pos="720"/>
          <w:tab w:val="num" w:pos="360"/>
        </w:tabs>
        <w:ind w:left="360"/>
      </w:pPr>
      <w:r w:rsidRPr="00834449">
        <w:t>Darunavir</w:t>
      </w:r>
    </w:p>
    <w:p w14:paraId="2347C1E3" w14:textId="369D0969" w:rsidR="00834449" w:rsidRPr="00834449" w:rsidRDefault="00834449" w:rsidP="00834449">
      <w:pPr>
        <w:numPr>
          <w:ilvl w:val="0"/>
          <w:numId w:val="21"/>
        </w:numPr>
        <w:tabs>
          <w:tab w:val="clear" w:pos="720"/>
          <w:tab w:val="num" w:pos="360"/>
        </w:tabs>
        <w:ind w:left="360"/>
      </w:pPr>
      <w:r w:rsidRPr="00834449">
        <w:t>Edurant</w:t>
      </w:r>
      <w:r w:rsidRPr="00273369">
        <w:rPr>
          <w:vertAlign w:val="superscript"/>
        </w:rPr>
        <w:t>®</w:t>
      </w:r>
    </w:p>
    <w:p w14:paraId="12E5EE45" w14:textId="77777777" w:rsidR="00834449" w:rsidRPr="00834449" w:rsidRDefault="00834449" w:rsidP="00834449">
      <w:pPr>
        <w:numPr>
          <w:ilvl w:val="0"/>
          <w:numId w:val="21"/>
        </w:numPr>
        <w:tabs>
          <w:tab w:val="clear" w:pos="720"/>
          <w:tab w:val="num" w:pos="360"/>
        </w:tabs>
        <w:ind w:left="360"/>
      </w:pPr>
      <w:r w:rsidRPr="00834449">
        <w:t>Efavirenz</w:t>
      </w:r>
    </w:p>
    <w:p w14:paraId="19F28783" w14:textId="77777777" w:rsidR="00834449" w:rsidRPr="00834449" w:rsidRDefault="00834449" w:rsidP="00834449">
      <w:pPr>
        <w:numPr>
          <w:ilvl w:val="0"/>
          <w:numId w:val="21"/>
        </w:numPr>
        <w:tabs>
          <w:tab w:val="clear" w:pos="720"/>
          <w:tab w:val="num" w:pos="360"/>
        </w:tabs>
        <w:ind w:left="360"/>
      </w:pPr>
      <w:r w:rsidRPr="00834449">
        <w:t>Emtricitabine Caps</w:t>
      </w:r>
    </w:p>
    <w:p w14:paraId="08457A25" w14:textId="1A948290" w:rsidR="00834449" w:rsidRPr="00834449" w:rsidRDefault="00834449" w:rsidP="00834449">
      <w:pPr>
        <w:numPr>
          <w:ilvl w:val="0"/>
          <w:numId w:val="21"/>
        </w:numPr>
        <w:tabs>
          <w:tab w:val="clear" w:pos="720"/>
          <w:tab w:val="num" w:pos="360"/>
        </w:tabs>
        <w:ind w:left="360"/>
      </w:pPr>
      <w:r w:rsidRPr="00834449">
        <w:t>Emtriva</w:t>
      </w:r>
      <w:r w:rsidRPr="00273369">
        <w:rPr>
          <w:vertAlign w:val="superscript"/>
        </w:rPr>
        <w:t>®</w:t>
      </w:r>
      <w:r w:rsidRPr="00834449">
        <w:t xml:space="preserve"> Soln</w:t>
      </w:r>
    </w:p>
    <w:p w14:paraId="6C6B90D7" w14:textId="30D6FDC2" w:rsidR="00834449" w:rsidRPr="00834449" w:rsidRDefault="00834449" w:rsidP="00834449">
      <w:pPr>
        <w:numPr>
          <w:ilvl w:val="0"/>
          <w:numId w:val="21"/>
        </w:numPr>
        <w:tabs>
          <w:tab w:val="clear" w:pos="720"/>
          <w:tab w:val="num" w:pos="360"/>
        </w:tabs>
        <w:ind w:left="360"/>
      </w:pPr>
      <w:r w:rsidRPr="00834449">
        <w:t>Evotaz</w:t>
      </w:r>
      <w:r w:rsidRPr="00273369">
        <w:rPr>
          <w:vertAlign w:val="superscript"/>
        </w:rPr>
        <w:t>®</w:t>
      </w:r>
    </w:p>
    <w:p w14:paraId="75A0792B" w14:textId="3AE89EBC" w:rsidR="00834449" w:rsidRPr="00834449" w:rsidRDefault="00834449" w:rsidP="00834449">
      <w:pPr>
        <w:numPr>
          <w:ilvl w:val="0"/>
          <w:numId w:val="21"/>
        </w:numPr>
        <w:tabs>
          <w:tab w:val="clear" w:pos="720"/>
          <w:tab w:val="num" w:pos="360"/>
        </w:tabs>
        <w:ind w:left="360"/>
      </w:pPr>
      <w:r w:rsidRPr="00834449">
        <w:t>Isentress</w:t>
      </w:r>
      <w:r w:rsidRPr="00273369">
        <w:rPr>
          <w:vertAlign w:val="superscript"/>
        </w:rPr>
        <w:t>®</w:t>
      </w:r>
    </w:p>
    <w:p w14:paraId="28556A92" w14:textId="77777777" w:rsidR="00834449" w:rsidRPr="00834449" w:rsidRDefault="00834449" w:rsidP="00834449">
      <w:pPr>
        <w:numPr>
          <w:ilvl w:val="0"/>
          <w:numId w:val="21"/>
        </w:numPr>
        <w:tabs>
          <w:tab w:val="clear" w:pos="720"/>
          <w:tab w:val="num" w:pos="360"/>
        </w:tabs>
        <w:ind w:left="360"/>
      </w:pPr>
      <w:r w:rsidRPr="00834449">
        <w:t>Lamivudine</w:t>
      </w:r>
    </w:p>
    <w:p w14:paraId="6FE637EE" w14:textId="09208AAA" w:rsidR="00834449" w:rsidRPr="00834449" w:rsidRDefault="00834449" w:rsidP="00834449">
      <w:pPr>
        <w:numPr>
          <w:ilvl w:val="0"/>
          <w:numId w:val="21"/>
        </w:numPr>
        <w:tabs>
          <w:tab w:val="clear" w:pos="720"/>
          <w:tab w:val="num" w:pos="360"/>
        </w:tabs>
        <w:ind w:left="360"/>
      </w:pPr>
      <w:r w:rsidRPr="00834449">
        <w:t>Lamivudine/Zidovudine (gen Combivir</w:t>
      </w:r>
      <w:r w:rsidRPr="00273369">
        <w:rPr>
          <w:vertAlign w:val="superscript"/>
        </w:rPr>
        <w:t>®</w:t>
      </w:r>
      <w:r w:rsidRPr="00834449">
        <w:t xml:space="preserve">) </w:t>
      </w:r>
    </w:p>
    <w:p w14:paraId="6DFC9DF1" w14:textId="1F7ED6DC" w:rsidR="00834449" w:rsidRPr="00834449" w:rsidRDefault="00834449" w:rsidP="00834449">
      <w:pPr>
        <w:numPr>
          <w:ilvl w:val="0"/>
          <w:numId w:val="21"/>
        </w:numPr>
        <w:tabs>
          <w:tab w:val="clear" w:pos="720"/>
          <w:tab w:val="num" w:pos="360"/>
        </w:tabs>
        <w:ind w:left="360"/>
      </w:pPr>
      <w:r w:rsidRPr="00834449">
        <w:t>Norvir</w:t>
      </w:r>
      <w:r w:rsidRPr="00273369">
        <w:rPr>
          <w:vertAlign w:val="superscript"/>
        </w:rPr>
        <w:t>®</w:t>
      </w:r>
      <w:r w:rsidRPr="00834449">
        <w:t xml:space="preserve"> powder packet</w:t>
      </w:r>
    </w:p>
    <w:p w14:paraId="0F4429C1" w14:textId="7A31525F" w:rsidR="00834449" w:rsidRPr="00834449" w:rsidRDefault="00834449" w:rsidP="00834449">
      <w:pPr>
        <w:numPr>
          <w:ilvl w:val="0"/>
          <w:numId w:val="21"/>
        </w:numPr>
        <w:tabs>
          <w:tab w:val="clear" w:pos="720"/>
          <w:tab w:val="num" w:pos="360"/>
        </w:tabs>
        <w:ind w:left="360"/>
      </w:pPr>
      <w:r w:rsidRPr="00834449">
        <w:t>Pifeltro</w:t>
      </w:r>
      <w:r w:rsidRPr="00273369">
        <w:rPr>
          <w:vertAlign w:val="superscript"/>
        </w:rPr>
        <w:t>®</w:t>
      </w:r>
    </w:p>
    <w:p w14:paraId="450286B0" w14:textId="0007A25E" w:rsidR="00834449" w:rsidRPr="00834449" w:rsidRDefault="00834449" w:rsidP="00834449">
      <w:pPr>
        <w:numPr>
          <w:ilvl w:val="0"/>
          <w:numId w:val="21"/>
        </w:numPr>
        <w:tabs>
          <w:tab w:val="clear" w:pos="720"/>
          <w:tab w:val="num" w:pos="360"/>
        </w:tabs>
        <w:ind w:left="360"/>
      </w:pPr>
      <w:r w:rsidRPr="00834449">
        <w:t>Prezcobix</w:t>
      </w:r>
      <w:r w:rsidRPr="00273369">
        <w:rPr>
          <w:vertAlign w:val="superscript"/>
        </w:rPr>
        <w:t>®</w:t>
      </w:r>
      <w:r w:rsidRPr="00834449">
        <w:t xml:space="preserve"> </w:t>
      </w:r>
    </w:p>
    <w:p w14:paraId="0CF5E2E9" w14:textId="173D7D5A" w:rsidR="00834449" w:rsidRPr="00834449" w:rsidRDefault="00834449" w:rsidP="00834449">
      <w:pPr>
        <w:numPr>
          <w:ilvl w:val="0"/>
          <w:numId w:val="21"/>
        </w:numPr>
        <w:tabs>
          <w:tab w:val="clear" w:pos="720"/>
          <w:tab w:val="num" w:pos="360"/>
        </w:tabs>
        <w:ind w:left="360"/>
      </w:pPr>
      <w:r w:rsidRPr="00834449">
        <w:t>Prezista</w:t>
      </w:r>
      <w:r w:rsidRPr="00273369">
        <w:rPr>
          <w:vertAlign w:val="superscript"/>
        </w:rPr>
        <w:t>®</w:t>
      </w:r>
      <w:r w:rsidRPr="00834449">
        <w:t xml:space="preserve"> Susp/75 mg, 150 mg Tabs</w:t>
      </w:r>
    </w:p>
    <w:p w14:paraId="500EB75F" w14:textId="77777777" w:rsidR="00834449" w:rsidRPr="00834449" w:rsidRDefault="00834449" w:rsidP="00834449">
      <w:pPr>
        <w:numPr>
          <w:ilvl w:val="0"/>
          <w:numId w:val="21"/>
        </w:numPr>
        <w:tabs>
          <w:tab w:val="clear" w:pos="720"/>
          <w:tab w:val="num" w:pos="360"/>
        </w:tabs>
        <w:ind w:left="360"/>
      </w:pPr>
      <w:r w:rsidRPr="00834449">
        <w:t>Ritonavir Tabs</w:t>
      </w:r>
    </w:p>
    <w:p w14:paraId="5F9D903A" w14:textId="77777777" w:rsidR="00834449" w:rsidRPr="00834449" w:rsidRDefault="00834449" w:rsidP="00834449">
      <w:pPr>
        <w:numPr>
          <w:ilvl w:val="0"/>
          <w:numId w:val="21"/>
        </w:numPr>
        <w:tabs>
          <w:tab w:val="clear" w:pos="720"/>
          <w:tab w:val="num" w:pos="360"/>
        </w:tabs>
        <w:ind w:left="360"/>
      </w:pPr>
      <w:r w:rsidRPr="00834449">
        <w:t>Tenofovir Tabs</w:t>
      </w:r>
    </w:p>
    <w:p w14:paraId="1029237B" w14:textId="52DEA59C" w:rsidR="005F0E90" w:rsidRPr="00DC0239" w:rsidRDefault="00834449" w:rsidP="00834449">
      <w:pPr>
        <w:numPr>
          <w:ilvl w:val="0"/>
          <w:numId w:val="21"/>
        </w:numPr>
        <w:tabs>
          <w:tab w:val="clear" w:pos="720"/>
          <w:tab w:val="num" w:pos="360"/>
        </w:tabs>
        <w:ind w:left="360"/>
      </w:pPr>
      <w:r w:rsidRPr="00DC0239">
        <w:t>Tivicay</w:t>
      </w:r>
      <w:r w:rsidR="005F0E90" w:rsidRPr="00DC0239">
        <w:rPr>
          <w:vertAlign w:val="superscript"/>
        </w:rPr>
        <w:t>®</w:t>
      </w:r>
    </w:p>
    <w:p w14:paraId="3AB2DD4F" w14:textId="0ED57EAB" w:rsidR="00834449" w:rsidRPr="00DC0239" w:rsidRDefault="005F0E90" w:rsidP="00834449">
      <w:pPr>
        <w:numPr>
          <w:ilvl w:val="0"/>
          <w:numId w:val="21"/>
        </w:numPr>
        <w:tabs>
          <w:tab w:val="clear" w:pos="720"/>
          <w:tab w:val="num" w:pos="360"/>
        </w:tabs>
        <w:ind w:left="360"/>
      </w:pPr>
      <w:r w:rsidRPr="00DC0239">
        <w:t xml:space="preserve">Tivicay </w:t>
      </w:r>
      <w:r w:rsidR="00834449" w:rsidRPr="00DC0239">
        <w:t>PD</w:t>
      </w:r>
      <w:r w:rsidR="00580620" w:rsidRPr="00DC0239">
        <w:rPr>
          <w:vertAlign w:val="superscript"/>
        </w:rPr>
        <w:t>®</w:t>
      </w:r>
    </w:p>
    <w:p w14:paraId="73D78393" w14:textId="5BCCDB04" w:rsidR="00834449" w:rsidRDefault="00834449" w:rsidP="00834449">
      <w:pPr>
        <w:numPr>
          <w:ilvl w:val="0"/>
          <w:numId w:val="21"/>
        </w:numPr>
        <w:tabs>
          <w:tab w:val="clear" w:pos="720"/>
          <w:tab w:val="num" w:pos="360"/>
        </w:tabs>
        <w:ind w:left="360"/>
      </w:pPr>
      <w:r w:rsidRPr="00834449">
        <w:t>Tybost</w:t>
      </w:r>
      <w:r w:rsidRPr="00273369">
        <w:rPr>
          <w:vertAlign w:val="superscript"/>
        </w:rPr>
        <w:t>®</w:t>
      </w:r>
    </w:p>
    <w:p w14:paraId="2184AF52" w14:textId="2B9D87A4" w:rsidR="00834449" w:rsidRPr="00834449" w:rsidRDefault="00834449" w:rsidP="00834449">
      <w:pPr>
        <w:numPr>
          <w:ilvl w:val="0"/>
          <w:numId w:val="21"/>
        </w:numPr>
        <w:tabs>
          <w:tab w:val="clear" w:pos="720"/>
          <w:tab w:val="num" w:pos="360"/>
        </w:tabs>
        <w:ind w:left="360"/>
      </w:pPr>
      <w:r w:rsidRPr="00834449">
        <w:t>Viread</w:t>
      </w:r>
      <w:r w:rsidRPr="00273369">
        <w:rPr>
          <w:vertAlign w:val="superscript"/>
        </w:rPr>
        <w:t>®</w:t>
      </w:r>
      <w:r w:rsidRPr="00834449">
        <w:t xml:space="preserve"> Pwd </w:t>
      </w:r>
    </w:p>
    <w:p w14:paraId="3694E7F5" w14:textId="77777777" w:rsidR="005414B7" w:rsidRDefault="005414B7" w:rsidP="00314430">
      <w:pPr>
        <w:rPr>
          <w:rFonts w:cs="Arial"/>
          <w:spacing w:val="-3"/>
          <w:szCs w:val="20"/>
        </w:rPr>
      </w:pPr>
    </w:p>
    <w:p w14:paraId="0B818697" w14:textId="391C8B7B" w:rsidR="005414B7" w:rsidRDefault="009F087A" w:rsidP="005414B7">
      <w:pPr>
        <w:rPr>
          <w:b/>
          <w:bCs/>
        </w:rPr>
      </w:pPr>
      <w:r>
        <w:rPr>
          <w:b/>
          <w:bCs/>
        </w:rPr>
        <w:t>Non-</w:t>
      </w:r>
      <w:r w:rsidR="005414B7">
        <w:rPr>
          <w:b/>
          <w:bCs/>
        </w:rPr>
        <w:t>Preferred Agents</w:t>
      </w:r>
      <w:r w:rsidR="00B966EA">
        <w:rPr>
          <w:b/>
          <w:bCs/>
        </w:rPr>
        <w:t xml:space="preserve"> </w:t>
      </w:r>
    </w:p>
    <w:p w14:paraId="718C57BA" w14:textId="2603F76C" w:rsidR="009E611E" w:rsidRPr="009E611E" w:rsidRDefault="009E611E" w:rsidP="009E611E">
      <w:pPr>
        <w:pStyle w:val="ListParagraph"/>
      </w:pPr>
      <w:r w:rsidRPr="009E611E">
        <w:t>Aptivus</w:t>
      </w:r>
      <w:r w:rsidRPr="00273369">
        <w:rPr>
          <w:vertAlign w:val="superscript"/>
        </w:rPr>
        <w:t>®</w:t>
      </w:r>
    </w:p>
    <w:p w14:paraId="300E5EAD" w14:textId="5A0A0C6A" w:rsidR="009E611E" w:rsidRPr="009E611E" w:rsidRDefault="009E611E" w:rsidP="009E611E">
      <w:pPr>
        <w:pStyle w:val="ListParagraph"/>
      </w:pPr>
      <w:r w:rsidRPr="009E611E">
        <w:t>Cabenuva</w:t>
      </w:r>
      <w:r w:rsidRPr="00273369">
        <w:rPr>
          <w:vertAlign w:val="superscript"/>
        </w:rPr>
        <w:t>®</w:t>
      </w:r>
      <w:r w:rsidRPr="009E611E">
        <w:t xml:space="preserve"> </w:t>
      </w:r>
    </w:p>
    <w:p w14:paraId="3252E01A" w14:textId="00E4D743" w:rsidR="009E611E" w:rsidRPr="009E611E" w:rsidRDefault="009E611E" w:rsidP="009E611E">
      <w:pPr>
        <w:pStyle w:val="ListParagraph"/>
      </w:pPr>
      <w:r w:rsidRPr="009E611E">
        <w:t>Combivir</w:t>
      </w:r>
      <w:r w:rsidRPr="00273369">
        <w:rPr>
          <w:vertAlign w:val="superscript"/>
        </w:rPr>
        <w:t>®</w:t>
      </w:r>
    </w:p>
    <w:p w14:paraId="306C0356" w14:textId="77777777" w:rsidR="009E611E" w:rsidRPr="009E611E" w:rsidRDefault="009E611E" w:rsidP="009E611E">
      <w:pPr>
        <w:pStyle w:val="ListParagraph"/>
      </w:pPr>
      <w:r w:rsidRPr="009E611E">
        <w:t>Didanosine DR Caps</w:t>
      </w:r>
    </w:p>
    <w:p w14:paraId="3AC8D56E" w14:textId="18F2ED44" w:rsidR="009E611E" w:rsidRPr="009E611E" w:rsidRDefault="009E611E" w:rsidP="009E611E">
      <w:pPr>
        <w:pStyle w:val="ListParagraph"/>
      </w:pPr>
      <w:r w:rsidRPr="009E611E">
        <w:t>Emtriva</w:t>
      </w:r>
      <w:r w:rsidRPr="00273369">
        <w:rPr>
          <w:vertAlign w:val="superscript"/>
        </w:rPr>
        <w:t>®</w:t>
      </w:r>
      <w:r w:rsidRPr="009E611E">
        <w:t xml:space="preserve"> Caps</w:t>
      </w:r>
    </w:p>
    <w:p w14:paraId="45B0B8F9" w14:textId="13C702D5" w:rsidR="009E611E" w:rsidRPr="009E611E" w:rsidRDefault="009E611E" w:rsidP="009E611E">
      <w:pPr>
        <w:pStyle w:val="ListParagraph"/>
      </w:pPr>
      <w:r w:rsidRPr="009E611E">
        <w:t>Epivir</w:t>
      </w:r>
      <w:r w:rsidRPr="00273369">
        <w:rPr>
          <w:vertAlign w:val="superscript"/>
        </w:rPr>
        <w:t>®</w:t>
      </w:r>
    </w:p>
    <w:p w14:paraId="27B50465" w14:textId="22C713B3" w:rsidR="009E611E" w:rsidRPr="009E611E" w:rsidRDefault="009E611E" w:rsidP="009E611E">
      <w:pPr>
        <w:pStyle w:val="ListParagraph"/>
      </w:pPr>
      <w:r w:rsidRPr="009E611E">
        <w:t>Epzicom</w:t>
      </w:r>
      <w:r w:rsidRPr="00273369">
        <w:rPr>
          <w:vertAlign w:val="superscript"/>
        </w:rPr>
        <w:t>®</w:t>
      </w:r>
      <w:r w:rsidRPr="009E611E">
        <w:t xml:space="preserve"> </w:t>
      </w:r>
    </w:p>
    <w:p w14:paraId="66766BA8" w14:textId="77777777" w:rsidR="009E611E" w:rsidRPr="009E611E" w:rsidRDefault="009E611E" w:rsidP="009E611E">
      <w:pPr>
        <w:pStyle w:val="ListParagraph"/>
      </w:pPr>
      <w:r w:rsidRPr="009E611E">
        <w:t>Etravirine Tabs</w:t>
      </w:r>
    </w:p>
    <w:p w14:paraId="680D0B7B" w14:textId="77777777" w:rsidR="009E611E" w:rsidRPr="009E611E" w:rsidRDefault="009E611E" w:rsidP="009E611E">
      <w:pPr>
        <w:pStyle w:val="ListParagraph"/>
      </w:pPr>
      <w:r w:rsidRPr="009E611E">
        <w:t>Fosamprenavir Tabs</w:t>
      </w:r>
    </w:p>
    <w:p w14:paraId="577E6CC3" w14:textId="295D72AB" w:rsidR="009E611E" w:rsidRPr="009E611E" w:rsidRDefault="009E611E" w:rsidP="009E611E">
      <w:pPr>
        <w:pStyle w:val="ListParagraph"/>
      </w:pPr>
      <w:r w:rsidRPr="009E611E">
        <w:t>Fuzeon</w:t>
      </w:r>
      <w:r w:rsidRPr="00273369">
        <w:rPr>
          <w:vertAlign w:val="superscript"/>
        </w:rPr>
        <w:t>®</w:t>
      </w:r>
    </w:p>
    <w:p w14:paraId="281F5114" w14:textId="70A01EE6" w:rsidR="009E611E" w:rsidRPr="009E611E" w:rsidRDefault="009E611E" w:rsidP="009E611E">
      <w:pPr>
        <w:pStyle w:val="ListParagraph"/>
      </w:pPr>
      <w:r w:rsidRPr="009E611E">
        <w:t>Intelence</w:t>
      </w:r>
      <w:r w:rsidRPr="00273369">
        <w:rPr>
          <w:vertAlign w:val="superscript"/>
        </w:rPr>
        <w:t>®</w:t>
      </w:r>
    </w:p>
    <w:p w14:paraId="547636BE" w14:textId="5911CAD9" w:rsidR="009E611E" w:rsidRPr="009E611E" w:rsidRDefault="009E611E" w:rsidP="009E611E">
      <w:pPr>
        <w:pStyle w:val="ListParagraph"/>
      </w:pPr>
      <w:r w:rsidRPr="009E611E">
        <w:t>Kaletra</w:t>
      </w:r>
      <w:r w:rsidRPr="00273369">
        <w:rPr>
          <w:vertAlign w:val="superscript"/>
        </w:rPr>
        <w:t>®</w:t>
      </w:r>
      <w:r w:rsidRPr="009E611E">
        <w:t xml:space="preserve"> </w:t>
      </w:r>
    </w:p>
    <w:p w14:paraId="561F05FE" w14:textId="2D225688" w:rsidR="009E611E" w:rsidRPr="009E611E" w:rsidRDefault="009E611E" w:rsidP="009E611E">
      <w:pPr>
        <w:pStyle w:val="ListParagraph"/>
      </w:pPr>
      <w:r w:rsidRPr="009E611E">
        <w:t>Lopinavir/Ritonavir (gen Kaletra</w:t>
      </w:r>
      <w:r w:rsidRPr="00273369">
        <w:rPr>
          <w:vertAlign w:val="superscript"/>
        </w:rPr>
        <w:t>®</w:t>
      </w:r>
      <w:r w:rsidRPr="009E611E">
        <w:t xml:space="preserve">) </w:t>
      </w:r>
    </w:p>
    <w:p w14:paraId="7F35BB7C" w14:textId="77777777" w:rsidR="009E611E" w:rsidRPr="009E611E" w:rsidRDefault="009E611E" w:rsidP="009E611E">
      <w:pPr>
        <w:pStyle w:val="ListParagraph"/>
      </w:pPr>
      <w:r w:rsidRPr="009E611E">
        <w:t>Maraviroc</w:t>
      </w:r>
    </w:p>
    <w:p w14:paraId="4B66788F" w14:textId="77777777" w:rsidR="009E611E" w:rsidRPr="009E611E" w:rsidRDefault="009E611E" w:rsidP="009E611E">
      <w:pPr>
        <w:pStyle w:val="ListParagraph"/>
      </w:pPr>
      <w:r w:rsidRPr="009E611E">
        <w:t>Nevirapine</w:t>
      </w:r>
    </w:p>
    <w:p w14:paraId="352BF12C" w14:textId="263D0E88" w:rsidR="009E611E" w:rsidRPr="009E611E" w:rsidRDefault="009E611E" w:rsidP="009E611E">
      <w:pPr>
        <w:pStyle w:val="ListParagraph"/>
      </w:pPr>
      <w:r w:rsidRPr="009E611E">
        <w:t>Norvir</w:t>
      </w:r>
      <w:r w:rsidRPr="00273369">
        <w:rPr>
          <w:vertAlign w:val="superscript"/>
        </w:rPr>
        <w:t>®</w:t>
      </w:r>
      <w:r w:rsidRPr="009E611E">
        <w:t xml:space="preserve"> Tabs</w:t>
      </w:r>
    </w:p>
    <w:p w14:paraId="71CFFC0C" w14:textId="41C6291C" w:rsidR="009E611E" w:rsidRPr="009E611E" w:rsidRDefault="009E611E" w:rsidP="009E611E">
      <w:pPr>
        <w:pStyle w:val="ListParagraph"/>
      </w:pPr>
      <w:r w:rsidRPr="009E611E">
        <w:t>Prezista</w:t>
      </w:r>
      <w:r w:rsidRPr="00273369">
        <w:rPr>
          <w:vertAlign w:val="superscript"/>
        </w:rPr>
        <w:t>®</w:t>
      </w:r>
      <w:r w:rsidRPr="009E611E">
        <w:t xml:space="preserve"> 600 mg, 800 mg Tabs</w:t>
      </w:r>
    </w:p>
    <w:p w14:paraId="53055B1C" w14:textId="36CDE789" w:rsidR="009E611E" w:rsidRPr="009E611E" w:rsidRDefault="009E611E" w:rsidP="009E611E">
      <w:pPr>
        <w:pStyle w:val="ListParagraph"/>
      </w:pPr>
      <w:r w:rsidRPr="009E611E">
        <w:t>Retrovir</w:t>
      </w:r>
      <w:r w:rsidRPr="00273369">
        <w:rPr>
          <w:vertAlign w:val="superscript"/>
        </w:rPr>
        <w:t>®</w:t>
      </w:r>
    </w:p>
    <w:p w14:paraId="0F8519AA" w14:textId="4D693289" w:rsidR="009E611E" w:rsidRPr="009E611E" w:rsidRDefault="009E611E" w:rsidP="009E611E">
      <w:pPr>
        <w:pStyle w:val="ListParagraph"/>
      </w:pPr>
      <w:r w:rsidRPr="009E611E">
        <w:t>Reyataz</w:t>
      </w:r>
      <w:r w:rsidRPr="00273369">
        <w:rPr>
          <w:vertAlign w:val="superscript"/>
        </w:rPr>
        <w:t>®</w:t>
      </w:r>
      <w:r w:rsidRPr="009E611E">
        <w:t xml:space="preserve"> </w:t>
      </w:r>
    </w:p>
    <w:p w14:paraId="00365618" w14:textId="6764D24E" w:rsidR="009E611E" w:rsidRPr="009E611E" w:rsidRDefault="009E611E" w:rsidP="009E611E">
      <w:pPr>
        <w:pStyle w:val="ListParagraph"/>
      </w:pPr>
      <w:r w:rsidRPr="009E611E">
        <w:lastRenderedPageBreak/>
        <w:t>Rukobia</w:t>
      </w:r>
      <w:r w:rsidRPr="00273369">
        <w:rPr>
          <w:vertAlign w:val="superscript"/>
        </w:rPr>
        <w:t>®</w:t>
      </w:r>
    </w:p>
    <w:p w14:paraId="3F918733" w14:textId="04454E49" w:rsidR="009E611E" w:rsidRPr="009E611E" w:rsidRDefault="009E611E" w:rsidP="009E611E">
      <w:pPr>
        <w:pStyle w:val="ListParagraph"/>
      </w:pPr>
      <w:r w:rsidRPr="009E611E">
        <w:t>Selzentry</w:t>
      </w:r>
      <w:r w:rsidRPr="00273369">
        <w:rPr>
          <w:vertAlign w:val="superscript"/>
        </w:rPr>
        <w:t>®</w:t>
      </w:r>
    </w:p>
    <w:p w14:paraId="4CFC7703" w14:textId="77777777" w:rsidR="009E611E" w:rsidRPr="009E611E" w:rsidRDefault="009E611E" w:rsidP="009E611E">
      <w:pPr>
        <w:pStyle w:val="ListParagraph"/>
      </w:pPr>
      <w:r w:rsidRPr="009E611E">
        <w:t>Stavudine Caps</w:t>
      </w:r>
    </w:p>
    <w:p w14:paraId="0C6E7AE5" w14:textId="4ABA181E" w:rsidR="009E611E" w:rsidRPr="009E611E" w:rsidRDefault="009E611E" w:rsidP="009E611E">
      <w:pPr>
        <w:pStyle w:val="ListParagraph"/>
      </w:pPr>
      <w:r w:rsidRPr="009E611E">
        <w:t>Sunlenca</w:t>
      </w:r>
      <w:r w:rsidRPr="00273369">
        <w:rPr>
          <w:vertAlign w:val="superscript"/>
        </w:rPr>
        <w:t>®</w:t>
      </w:r>
      <w:r w:rsidRPr="009E611E">
        <w:t xml:space="preserve"> </w:t>
      </w:r>
    </w:p>
    <w:p w14:paraId="056D5DA4" w14:textId="7CE9BD90" w:rsidR="009E611E" w:rsidRPr="009E611E" w:rsidRDefault="009E611E" w:rsidP="009E611E">
      <w:pPr>
        <w:pStyle w:val="ListParagraph"/>
      </w:pPr>
      <w:r w:rsidRPr="009E611E">
        <w:t>Trogarzo</w:t>
      </w:r>
      <w:r w:rsidRPr="00273369">
        <w:rPr>
          <w:vertAlign w:val="superscript"/>
        </w:rPr>
        <w:t>®</w:t>
      </w:r>
      <w:r w:rsidRPr="009E611E">
        <w:t xml:space="preserve"> </w:t>
      </w:r>
    </w:p>
    <w:p w14:paraId="4FAE03C4" w14:textId="1345A0FB" w:rsidR="009E611E" w:rsidRPr="009E611E" w:rsidRDefault="009E611E" w:rsidP="009E611E">
      <w:pPr>
        <w:pStyle w:val="ListParagraph"/>
      </w:pPr>
      <w:r w:rsidRPr="009E611E">
        <w:t>Viracept</w:t>
      </w:r>
      <w:r w:rsidRPr="00273369">
        <w:rPr>
          <w:vertAlign w:val="superscript"/>
        </w:rPr>
        <w:t>®</w:t>
      </w:r>
    </w:p>
    <w:p w14:paraId="61D34FF7" w14:textId="6846C804" w:rsidR="009E611E" w:rsidRPr="009E611E" w:rsidRDefault="009E611E" w:rsidP="009E611E">
      <w:pPr>
        <w:pStyle w:val="ListParagraph"/>
      </w:pPr>
      <w:r w:rsidRPr="009E611E">
        <w:t>Viramune</w:t>
      </w:r>
      <w:r w:rsidRPr="00273369">
        <w:rPr>
          <w:vertAlign w:val="superscript"/>
        </w:rPr>
        <w:t>®</w:t>
      </w:r>
    </w:p>
    <w:p w14:paraId="02AFA7CD" w14:textId="0C39D2BA" w:rsidR="009E611E" w:rsidRPr="009E611E" w:rsidRDefault="009E611E" w:rsidP="009E611E">
      <w:pPr>
        <w:pStyle w:val="ListParagraph"/>
      </w:pPr>
      <w:r w:rsidRPr="009E611E">
        <w:t>Viread</w:t>
      </w:r>
      <w:r w:rsidRPr="00273369">
        <w:rPr>
          <w:vertAlign w:val="superscript"/>
        </w:rPr>
        <w:t>®</w:t>
      </w:r>
      <w:r w:rsidRPr="009E611E">
        <w:t xml:space="preserve"> Tabs</w:t>
      </w:r>
    </w:p>
    <w:p w14:paraId="27C51A9F" w14:textId="1CEE0DC4" w:rsidR="009E611E" w:rsidRPr="009E611E" w:rsidRDefault="009E611E" w:rsidP="009E611E">
      <w:pPr>
        <w:pStyle w:val="ListParagraph"/>
      </w:pPr>
      <w:r w:rsidRPr="009E611E">
        <w:t>Ziagen</w:t>
      </w:r>
      <w:r w:rsidRPr="00273369">
        <w:rPr>
          <w:vertAlign w:val="superscript"/>
        </w:rPr>
        <w:t>®</w:t>
      </w:r>
    </w:p>
    <w:p w14:paraId="0476547B" w14:textId="46E58035" w:rsidR="005414B7" w:rsidRPr="00273369" w:rsidRDefault="009E611E" w:rsidP="009E611E">
      <w:pPr>
        <w:pStyle w:val="ListParagraph"/>
      </w:pPr>
      <w:r w:rsidRPr="009E611E">
        <w:t>Zidovudine</w:t>
      </w:r>
      <w:r w:rsidR="005414B7" w:rsidRPr="00ED2438">
        <w:t xml:space="preserve"> </w:t>
      </w:r>
    </w:p>
    <w:p w14:paraId="7DE5B373" w14:textId="77777777" w:rsidR="005414B7" w:rsidRDefault="005414B7" w:rsidP="00314430">
      <w:pPr>
        <w:rPr>
          <w:rFonts w:cs="Arial"/>
          <w:spacing w:val="-3"/>
          <w:szCs w:val="20"/>
        </w:rPr>
      </w:pPr>
    </w:p>
    <w:p w14:paraId="1404E1DD" w14:textId="2A5DBA31" w:rsidR="005414B7" w:rsidRPr="002A7BA8" w:rsidRDefault="00953079" w:rsidP="002A7BA8">
      <w:r>
        <w:rPr>
          <w:rFonts w:cs="Arial"/>
          <w:b/>
          <w:bCs/>
          <w:caps/>
          <w:spacing w:val="-3"/>
          <w:szCs w:val="20"/>
        </w:rPr>
        <w:t>prevention</w:t>
      </w:r>
      <w:r w:rsidR="007946F9">
        <w:rPr>
          <w:rFonts w:cs="Arial"/>
          <w:b/>
          <w:bCs/>
          <w:caps/>
          <w:spacing w:val="-3"/>
          <w:szCs w:val="20"/>
        </w:rPr>
        <w:t>:</w:t>
      </w:r>
    </w:p>
    <w:p w14:paraId="1C4D1BC1" w14:textId="6C83FD9C" w:rsidR="005414B7" w:rsidRPr="005414B7" w:rsidRDefault="005414B7" w:rsidP="00314430">
      <w:pPr>
        <w:rPr>
          <w:rFonts w:cs="Arial"/>
          <w:b/>
          <w:bCs/>
          <w:spacing w:val="-3"/>
          <w:szCs w:val="20"/>
        </w:rPr>
      </w:pPr>
      <w:r w:rsidRPr="005414B7">
        <w:rPr>
          <w:rFonts w:cs="Arial"/>
          <w:b/>
          <w:bCs/>
          <w:spacing w:val="-3"/>
          <w:szCs w:val="20"/>
        </w:rPr>
        <w:t>Preferred Agents:</w:t>
      </w:r>
    </w:p>
    <w:p w14:paraId="75C4C897" w14:textId="3305F359" w:rsidR="005414B7" w:rsidRPr="0019020D" w:rsidRDefault="005414B7" w:rsidP="005414B7">
      <w:pPr>
        <w:pStyle w:val="ListParagraph"/>
        <w:numPr>
          <w:ilvl w:val="0"/>
          <w:numId w:val="19"/>
        </w:numPr>
        <w:rPr>
          <w:rFonts w:cs="Arial"/>
          <w:spacing w:val="-3"/>
          <w:szCs w:val="20"/>
        </w:rPr>
      </w:pPr>
      <w:r w:rsidRPr="004B7BC3">
        <w:rPr>
          <w:rFonts w:cs="Arial"/>
          <w:spacing w:val="-3"/>
          <w:szCs w:val="20"/>
          <w:lang w:val="it-IT"/>
        </w:rPr>
        <w:t>Emtricitabine/Tenofovir disoproxil (gen Truvada</w:t>
      </w:r>
      <w:r w:rsidRPr="004B7BC3">
        <w:rPr>
          <w:rFonts w:cs="Arial"/>
          <w:spacing w:val="-3"/>
          <w:szCs w:val="20"/>
          <w:vertAlign w:val="superscript"/>
          <w:lang w:val="it-IT"/>
        </w:rPr>
        <w:t>®</w:t>
      </w:r>
      <w:r w:rsidRPr="004B7BC3">
        <w:rPr>
          <w:rFonts w:cs="Arial"/>
          <w:spacing w:val="-3"/>
          <w:szCs w:val="20"/>
          <w:lang w:val="it-IT"/>
        </w:rPr>
        <w:t>)</w:t>
      </w:r>
    </w:p>
    <w:p w14:paraId="1E89F89D" w14:textId="77777777" w:rsidR="005414B7" w:rsidRDefault="005414B7" w:rsidP="00314430">
      <w:pPr>
        <w:rPr>
          <w:rFonts w:cs="Arial"/>
          <w:spacing w:val="-3"/>
          <w:szCs w:val="20"/>
        </w:rPr>
      </w:pPr>
    </w:p>
    <w:p w14:paraId="451796DE" w14:textId="77777777" w:rsidR="005414B7" w:rsidRPr="005414B7" w:rsidRDefault="005414B7" w:rsidP="005414B7">
      <w:pPr>
        <w:rPr>
          <w:rFonts w:cs="Arial"/>
          <w:b/>
          <w:bCs/>
          <w:spacing w:val="-3"/>
          <w:szCs w:val="20"/>
        </w:rPr>
      </w:pPr>
      <w:r w:rsidRPr="005414B7">
        <w:rPr>
          <w:rFonts w:cs="Arial"/>
          <w:b/>
          <w:bCs/>
          <w:spacing w:val="-3"/>
          <w:szCs w:val="20"/>
        </w:rPr>
        <w:t>Non-Preferred Agents:</w:t>
      </w:r>
    </w:p>
    <w:p w14:paraId="3193BA3C" w14:textId="77777777" w:rsidR="005414B7" w:rsidRPr="00ED2438" w:rsidRDefault="005414B7" w:rsidP="005414B7">
      <w:pPr>
        <w:pStyle w:val="ListParagraph"/>
        <w:numPr>
          <w:ilvl w:val="0"/>
          <w:numId w:val="19"/>
        </w:numPr>
        <w:rPr>
          <w:rFonts w:cs="Arial"/>
          <w:spacing w:val="-3"/>
          <w:szCs w:val="20"/>
        </w:rPr>
      </w:pPr>
      <w:r w:rsidRPr="00ED2438">
        <w:rPr>
          <w:rFonts w:cs="Arial"/>
          <w:spacing w:val="-3"/>
          <w:szCs w:val="20"/>
        </w:rPr>
        <w:t>Apretude</w:t>
      </w:r>
    </w:p>
    <w:p w14:paraId="0B5C5EED" w14:textId="77777777" w:rsidR="005414B7" w:rsidRPr="00ED2438" w:rsidRDefault="005414B7" w:rsidP="005414B7">
      <w:pPr>
        <w:pStyle w:val="ListParagraph"/>
        <w:numPr>
          <w:ilvl w:val="0"/>
          <w:numId w:val="19"/>
        </w:numPr>
        <w:rPr>
          <w:rFonts w:cs="Arial"/>
          <w:spacing w:val="-3"/>
          <w:szCs w:val="20"/>
        </w:rPr>
      </w:pPr>
      <w:r w:rsidRPr="00ED2438">
        <w:rPr>
          <w:rFonts w:cs="Arial"/>
          <w:spacing w:val="-3"/>
          <w:szCs w:val="20"/>
        </w:rPr>
        <w:t>Descovy</w:t>
      </w:r>
      <w:r w:rsidRPr="00ED2438">
        <w:rPr>
          <w:rFonts w:cs="Arial"/>
          <w:spacing w:val="-3"/>
          <w:szCs w:val="20"/>
          <w:vertAlign w:val="superscript"/>
        </w:rPr>
        <w:t>®</w:t>
      </w:r>
    </w:p>
    <w:p w14:paraId="71B25661" w14:textId="77777777" w:rsidR="005414B7" w:rsidRPr="000B7FDC" w:rsidRDefault="005414B7" w:rsidP="005414B7">
      <w:pPr>
        <w:pStyle w:val="ListParagraph"/>
        <w:numPr>
          <w:ilvl w:val="0"/>
          <w:numId w:val="19"/>
        </w:numPr>
        <w:rPr>
          <w:rFonts w:cs="Arial"/>
          <w:spacing w:val="-3"/>
          <w:szCs w:val="20"/>
        </w:rPr>
      </w:pPr>
      <w:r w:rsidRPr="00ED2438">
        <w:rPr>
          <w:rFonts w:cs="Arial"/>
          <w:spacing w:val="-3"/>
          <w:szCs w:val="20"/>
        </w:rPr>
        <w:t>Truvada</w:t>
      </w:r>
      <w:r w:rsidRPr="00ED2438">
        <w:rPr>
          <w:rFonts w:cs="Arial"/>
          <w:spacing w:val="-3"/>
          <w:szCs w:val="20"/>
          <w:vertAlign w:val="superscript"/>
        </w:rPr>
        <w:t>®</w:t>
      </w:r>
    </w:p>
    <w:p w14:paraId="35039AB1" w14:textId="6BCCD168" w:rsidR="005414B7" w:rsidRPr="00192A62" w:rsidRDefault="005414B7" w:rsidP="005414B7">
      <w:pPr>
        <w:pStyle w:val="ListParagraph"/>
        <w:numPr>
          <w:ilvl w:val="0"/>
          <w:numId w:val="19"/>
        </w:numPr>
        <w:rPr>
          <w:rFonts w:cs="Arial"/>
          <w:color w:val="1F497D" w:themeColor="text2"/>
          <w:spacing w:val="-3"/>
          <w:szCs w:val="20"/>
        </w:rPr>
      </w:pPr>
      <w:r w:rsidRPr="00192A62">
        <w:rPr>
          <w:rFonts w:cs="Arial"/>
          <w:b/>
          <w:bCs/>
          <w:color w:val="1F497D" w:themeColor="text2"/>
          <w:spacing w:val="-3"/>
          <w:szCs w:val="20"/>
        </w:rPr>
        <w:t>Yeztugo</w:t>
      </w:r>
      <w:r w:rsidRPr="00192A62">
        <w:rPr>
          <w:rFonts w:cs="Arial"/>
          <w:b/>
          <w:bCs/>
          <w:color w:val="1F497D" w:themeColor="text2"/>
          <w:spacing w:val="-3"/>
          <w:szCs w:val="20"/>
          <w:vertAlign w:val="superscript"/>
        </w:rPr>
        <w:t>®</w:t>
      </w:r>
    </w:p>
    <w:p w14:paraId="38C6B257" w14:textId="77777777" w:rsidR="005414B7" w:rsidRDefault="005414B7" w:rsidP="00314430">
      <w:pPr>
        <w:rPr>
          <w:rFonts w:cs="Arial"/>
          <w:spacing w:val="-3"/>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4BFAFD8D" w:rsidR="0097028A" w:rsidRPr="0079438F" w:rsidRDefault="0097028A" w:rsidP="00696E3A">
      <w:pPr>
        <w:rPr>
          <w:b/>
        </w:rPr>
      </w:pPr>
      <w:r w:rsidRPr="00696E3A">
        <w:rPr>
          <w:b/>
          <w:bCs/>
        </w:rPr>
        <w:t>Drug class for review:</w:t>
      </w:r>
      <w:r w:rsidRPr="00C02553">
        <w:t xml:space="preserve"> </w:t>
      </w:r>
      <w:r w:rsidR="007147A4">
        <w:rPr>
          <w:rFonts w:cs="Arial"/>
          <w:szCs w:val="20"/>
        </w:rPr>
        <w:t>Antiretroviral Therapy (ART) Agents</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3609A4AE" w14:textId="1C8F0FBD" w:rsidR="007147A4" w:rsidRDefault="007147A4" w:rsidP="000F2A48">
      <w:pPr>
        <w:pStyle w:val="ListParagraph"/>
        <w:numPr>
          <w:ilvl w:val="0"/>
          <w:numId w:val="15"/>
        </w:numPr>
        <w:rPr>
          <w:rFonts w:cs="Arial"/>
          <w:bCs/>
          <w:szCs w:val="20"/>
        </w:rPr>
      </w:pPr>
      <w:r>
        <w:rPr>
          <w:rFonts w:cs="Arial"/>
          <w:bCs/>
          <w:szCs w:val="20"/>
        </w:rPr>
        <w:t>Participants will be able to access any antiretroviral drug for the treatment of HIV that they currently utilize and on which they are stable or that they have successfully utilized previously, excluding</w:t>
      </w:r>
      <w:r w:rsidR="00F34D97">
        <w:rPr>
          <w:rFonts w:cs="Arial"/>
          <w:bCs/>
          <w:szCs w:val="20"/>
        </w:rPr>
        <w:t xml:space="preserve"> </w:t>
      </w:r>
      <w:r w:rsidR="008A09F9" w:rsidRPr="00FF24DF">
        <w:rPr>
          <w:rFonts w:cs="Arial"/>
          <w:b/>
          <w:color w:val="1F497D" w:themeColor="text2"/>
          <w:szCs w:val="20"/>
        </w:rPr>
        <w:t>agents for prevention of HIV</w:t>
      </w:r>
      <w:r>
        <w:rPr>
          <w:rFonts w:cs="Arial"/>
          <w:bCs/>
          <w:szCs w:val="20"/>
        </w:rPr>
        <w:t xml:space="preserve">. </w:t>
      </w:r>
      <w:r w:rsidRPr="00C13624">
        <w:rPr>
          <w:rFonts w:cs="Arial"/>
          <w:bCs/>
          <w:szCs w:val="20"/>
        </w:rPr>
        <w:t>For more information on</w:t>
      </w:r>
      <w:r w:rsidR="009C7B35">
        <w:rPr>
          <w:rFonts w:cs="Arial"/>
          <w:bCs/>
          <w:szCs w:val="20"/>
        </w:rPr>
        <w:t xml:space="preserve"> </w:t>
      </w:r>
      <w:r w:rsidR="009C7B35" w:rsidRPr="00C13624">
        <w:rPr>
          <w:rFonts w:cs="Arial"/>
          <w:bCs/>
          <w:szCs w:val="20"/>
        </w:rPr>
        <w:t>approval criteria</w:t>
      </w:r>
      <w:r w:rsidR="009C7B35">
        <w:rPr>
          <w:rFonts w:cs="Arial"/>
          <w:bCs/>
          <w:szCs w:val="20"/>
        </w:rPr>
        <w:t xml:space="preserve"> for</w:t>
      </w:r>
      <w:r w:rsidRPr="00C13624">
        <w:rPr>
          <w:rFonts w:cs="Arial"/>
          <w:bCs/>
          <w:szCs w:val="20"/>
        </w:rPr>
        <w:t xml:space="preserve"> non-preferred</w:t>
      </w:r>
      <w:r w:rsidR="00F34D97" w:rsidRPr="00C13624">
        <w:rPr>
          <w:rFonts w:cs="Arial"/>
          <w:bCs/>
          <w:szCs w:val="20"/>
        </w:rPr>
        <w:t xml:space="preserve"> </w:t>
      </w:r>
      <w:r w:rsidR="001F07C9" w:rsidRPr="00173911">
        <w:rPr>
          <w:rFonts w:cs="Arial"/>
          <w:b/>
          <w:color w:val="1F497D" w:themeColor="text2"/>
          <w:szCs w:val="20"/>
        </w:rPr>
        <w:t xml:space="preserve">prevention </w:t>
      </w:r>
      <w:r w:rsidRPr="00173911">
        <w:rPr>
          <w:rFonts w:cs="Arial"/>
          <w:b/>
          <w:color w:val="1F497D" w:themeColor="text2"/>
          <w:szCs w:val="20"/>
        </w:rPr>
        <w:t>agents</w:t>
      </w:r>
      <w:r w:rsidRPr="00173911">
        <w:rPr>
          <w:rFonts w:cs="Arial"/>
          <w:color w:val="1F497D" w:themeColor="text2"/>
          <w:szCs w:val="20"/>
        </w:rPr>
        <w:t xml:space="preserve"> </w:t>
      </w:r>
      <w:r w:rsidRPr="00C13624">
        <w:rPr>
          <w:rFonts w:cs="Arial"/>
          <w:bCs/>
          <w:szCs w:val="20"/>
        </w:rPr>
        <w:t xml:space="preserve">please see below. </w:t>
      </w:r>
    </w:p>
    <w:p w14:paraId="3F802EC8" w14:textId="77777777" w:rsidR="00FF3937" w:rsidRDefault="00FF3937" w:rsidP="00173911">
      <w:pPr>
        <w:pStyle w:val="ListParagraph"/>
        <w:numPr>
          <w:ilvl w:val="0"/>
          <w:numId w:val="0"/>
        </w:numPr>
        <w:ind w:left="360"/>
        <w:rPr>
          <w:rFonts w:cs="Arial"/>
          <w:bCs/>
          <w:szCs w:val="20"/>
        </w:rPr>
      </w:pPr>
    </w:p>
    <w:p w14:paraId="44E1AD81" w14:textId="071E395A" w:rsidR="00D70C59" w:rsidRDefault="007147A4" w:rsidP="000F2A48">
      <w:pPr>
        <w:pStyle w:val="ListParagraph"/>
        <w:numPr>
          <w:ilvl w:val="0"/>
          <w:numId w:val="15"/>
        </w:numPr>
        <w:rPr>
          <w:rFonts w:cs="Arial"/>
          <w:bCs/>
          <w:szCs w:val="20"/>
        </w:rPr>
      </w:pPr>
      <w:r>
        <w:rPr>
          <w:rFonts w:cs="Arial"/>
          <w:bCs/>
          <w:szCs w:val="20"/>
        </w:rPr>
        <w:t xml:space="preserve">Claims for </w:t>
      </w:r>
      <w:r w:rsidR="00AC0673">
        <w:rPr>
          <w:rFonts w:cs="Arial"/>
          <w:b/>
          <w:color w:val="1F497D" w:themeColor="text2"/>
          <w:szCs w:val="20"/>
        </w:rPr>
        <w:t>T</w:t>
      </w:r>
      <w:r w:rsidR="00924E5C" w:rsidRPr="00924E5C">
        <w:rPr>
          <w:rFonts w:cs="Arial"/>
          <w:b/>
          <w:color w:val="1F497D" w:themeColor="text2"/>
          <w:szCs w:val="20"/>
        </w:rPr>
        <w:t>reatment</w:t>
      </w:r>
      <w:r w:rsidR="00AC0673">
        <w:rPr>
          <w:rFonts w:cs="Arial"/>
          <w:b/>
          <w:color w:val="1F497D" w:themeColor="text2"/>
          <w:szCs w:val="20"/>
        </w:rPr>
        <w:t xml:space="preserve">: </w:t>
      </w:r>
      <w:r w:rsidR="000F2A48" w:rsidRPr="000F2A48">
        <w:rPr>
          <w:rFonts w:cs="Arial"/>
          <w:b/>
          <w:color w:val="1F497D" w:themeColor="text2"/>
          <w:szCs w:val="20"/>
        </w:rPr>
        <w:t>Single-</w:t>
      </w:r>
      <w:r w:rsidR="00AC0673">
        <w:rPr>
          <w:rFonts w:cs="Arial"/>
          <w:b/>
          <w:color w:val="1F497D" w:themeColor="text2"/>
          <w:szCs w:val="20"/>
        </w:rPr>
        <w:t>T</w:t>
      </w:r>
      <w:r w:rsidR="000F2A48" w:rsidRPr="000F2A48">
        <w:rPr>
          <w:rFonts w:cs="Arial"/>
          <w:b/>
          <w:color w:val="1F497D" w:themeColor="text2"/>
          <w:szCs w:val="20"/>
        </w:rPr>
        <w:t xml:space="preserve">ablet </w:t>
      </w:r>
      <w:r w:rsidR="00AC0673">
        <w:rPr>
          <w:rFonts w:cs="Arial"/>
          <w:b/>
          <w:color w:val="1F497D" w:themeColor="text2"/>
          <w:szCs w:val="20"/>
        </w:rPr>
        <w:t>R</w:t>
      </w:r>
      <w:r w:rsidR="000F2A48" w:rsidRPr="000F2A48">
        <w:rPr>
          <w:rFonts w:cs="Arial"/>
          <w:b/>
          <w:color w:val="1F497D" w:themeColor="text2"/>
          <w:szCs w:val="20"/>
        </w:rPr>
        <w:t>egimen</w:t>
      </w:r>
      <w:r w:rsidR="00373396">
        <w:rPr>
          <w:rFonts w:cs="Arial"/>
          <w:b/>
          <w:color w:val="1F497D" w:themeColor="text2"/>
          <w:szCs w:val="20"/>
        </w:rPr>
        <w:t xml:space="preserve"> agents:</w:t>
      </w:r>
      <w:r w:rsidR="00561FD0">
        <w:rPr>
          <w:rFonts w:cs="Arial"/>
          <w:bCs/>
          <w:szCs w:val="20"/>
        </w:rPr>
        <w:t xml:space="preserve"> </w:t>
      </w:r>
    </w:p>
    <w:p w14:paraId="2AFF700B" w14:textId="20C9F5F2" w:rsidR="007147A4" w:rsidRDefault="00D70C59" w:rsidP="00D70C59">
      <w:pPr>
        <w:pStyle w:val="ListParagraph"/>
        <w:numPr>
          <w:ilvl w:val="1"/>
          <w:numId w:val="15"/>
        </w:numPr>
        <w:rPr>
          <w:rFonts w:cs="Arial"/>
          <w:bCs/>
          <w:szCs w:val="20"/>
        </w:rPr>
      </w:pPr>
      <w:r>
        <w:rPr>
          <w:rFonts w:cs="Arial"/>
          <w:bCs/>
          <w:szCs w:val="20"/>
        </w:rPr>
        <w:t>M</w:t>
      </w:r>
      <w:r w:rsidR="00561FD0">
        <w:rPr>
          <w:rFonts w:cs="Arial"/>
          <w:bCs/>
          <w:szCs w:val="20"/>
        </w:rPr>
        <w:t>ust meet one of the following:</w:t>
      </w:r>
    </w:p>
    <w:p w14:paraId="2500AC1C" w14:textId="5362F187" w:rsidR="00561FD0" w:rsidRDefault="00561FD0" w:rsidP="008F202E">
      <w:pPr>
        <w:pStyle w:val="ListParagraph"/>
        <w:numPr>
          <w:ilvl w:val="1"/>
          <w:numId w:val="28"/>
        </w:numPr>
        <w:ind w:left="1080"/>
        <w:rPr>
          <w:rFonts w:cs="Arial"/>
          <w:bCs/>
          <w:szCs w:val="20"/>
        </w:rPr>
      </w:pPr>
      <w:r>
        <w:rPr>
          <w:rFonts w:cs="Arial"/>
          <w:bCs/>
          <w:szCs w:val="20"/>
        </w:rPr>
        <w:t>Claim is for a preferred agent;</w:t>
      </w:r>
    </w:p>
    <w:p w14:paraId="7D1D31D3" w14:textId="77777777" w:rsidR="003A56E5" w:rsidRDefault="003A56E5" w:rsidP="008F202E">
      <w:pPr>
        <w:pStyle w:val="ListParagraph"/>
        <w:numPr>
          <w:ilvl w:val="1"/>
          <w:numId w:val="28"/>
        </w:numPr>
        <w:ind w:left="1080"/>
        <w:rPr>
          <w:rFonts w:cs="Arial"/>
          <w:bCs/>
          <w:szCs w:val="20"/>
        </w:rPr>
      </w:pPr>
      <w:r w:rsidRPr="003A56E5">
        <w:rPr>
          <w:rFonts w:cs="Arial"/>
          <w:bCs/>
          <w:szCs w:val="20"/>
        </w:rPr>
        <w:t>Participant demonstrates compliance to current therapy</w:t>
      </w:r>
      <w:r>
        <w:rPr>
          <w:rFonts w:cs="Arial"/>
          <w:bCs/>
          <w:szCs w:val="20"/>
        </w:rPr>
        <w:t>;</w:t>
      </w:r>
    </w:p>
    <w:p w14:paraId="1A4EA5FB" w14:textId="6D681DB7" w:rsidR="009B4BDA" w:rsidRDefault="009B4BDA" w:rsidP="008F202E">
      <w:pPr>
        <w:pStyle w:val="GWBullets3"/>
        <w:numPr>
          <w:ilvl w:val="0"/>
          <w:numId w:val="27"/>
        </w:numPr>
        <w:spacing w:before="0" w:after="0" w:line="240" w:lineRule="auto"/>
        <w:ind w:left="1080"/>
        <w:rPr>
          <w:b/>
          <w:bCs/>
          <w:color w:val="1F497D" w:themeColor="text2"/>
        </w:rPr>
      </w:pPr>
      <w:r w:rsidRPr="00C53AF1">
        <w:rPr>
          <w:b/>
          <w:bCs/>
          <w:color w:val="1F497D" w:themeColor="text2"/>
        </w:rPr>
        <w:t xml:space="preserve">Failure to achieve desired therapeutic outcomes with trial on 1 </w:t>
      </w:r>
      <w:r w:rsidR="00896BF3">
        <w:rPr>
          <w:b/>
          <w:bCs/>
          <w:color w:val="1F497D" w:themeColor="text2"/>
        </w:rPr>
        <w:t xml:space="preserve">or more </w:t>
      </w:r>
      <w:r w:rsidRPr="00C53AF1">
        <w:rPr>
          <w:b/>
          <w:bCs/>
          <w:color w:val="1F497D" w:themeColor="text2"/>
        </w:rPr>
        <w:t>preferred agent</w:t>
      </w:r>
      <w:r w:rsidR="00896BF3">
        <w:rPr>
          <w:b/>
          <w:bCs/>
          <w:color w:val="1F497D" w:themeColor="text2"/>
        </w:rPr>
        <w:t>s:</w:t>
      </w:r>
    </w:p>
    <w:p w14:paraId="341E2F47" w14:textId="77777777" w:rsidR="000236A7" w:rsidRPr="00C16C08" w:rsidRDefault="000236A7" w:rsidP="00C16C08">
      <w:pPr>
        <w:pStyle w:val="ListParagraph"/>
        <w:numPr>
          <w:ilvl w:val="3"/>
          <w:numId w:val="6"/>
        </w:numPr>
        <w:ind w:left="1440"/>
        <w:rPr>
          <w:b/>
          <w:bCs/>
          <w:color w:val="1F497D" w:themeColor="text2"/>
        </w:rPr>
      </w:pPr>
      <w:r w:rsidRPr="00C16C08">
        <w:rPr>
          <w:b/>
          <w:bCs/>
          <w:color w:val="1F497D" w:themeColor="text2"/>
        </w:rPr>
        <w:t xml:space="preserve">Documented trial period for preferred agents; OR </w:t>
      </w:r>
    </w:p>
    <w:p w14:paraId="12CC90CD" w14:textId="5799E2B3" w:rsidR="000236A7" w:rsidRPr="00896BF3" w:rsidRDefault="000236A7" w:rsidP="00C16C08">
      <w:pPr>
        <w:pStyle w:val="ListParagraph"/>
        <w:numPr>
          <w:ilvl w:val="3"/>
          <w:numId w:val="27"/>
        </w:numPr>
        <w:ind w:left="1440"/>
        <w:rPr>
          <w:b/>
          <w:bCs/>
          <w:color w:val="1F497D" w:themeColor="text2"/>
        </w:rPr>
      </w:pPr>
      <w:r w:rsidRPr="00C16C08">
        <w:rPr>
          <w:b/>
          <w:bCs/>
          <w:color w:val="1F497D" w:themeColor="text2"/>
        </w:rPr>
        <w:t>Documented ADE/ADR to preferred agents</w:t>
      </w:r>
      <w:r w:rsidR="00896BF3" w:rsidRPr="00896BF3">
        <w:rPr>
          <w:b/>
          <w:bCs/>
          <w:color w:val="1F497D" w:themeColor="text2"/>
        </w:rPr>
        <w:t>; OR</w:t>
      </w:r>
    </w:p>
    <w:p w14:paraId="5E70649C" w14:textId="20FD0183" w:rsidR="009B4BDA" w:rsidRPr="001616E2" w:rsidRDefault="009B4BDA" w:rsidP="008F202E">
      <w:pPr>
        <w:pStyle w:val="GWBullets3"/>
        <w:numPr>
          <w:ilvl w:val="0"/>
          <w:numId w:val="27"/>
        </w:numPr>
        <w:spacing w:before="0" w:after="0" w:line="240" w:lineRule="auto"/>
        <w:ind w:left="1080"/>
        <w:rPr>
          <w:color w:val="auto"/>
        </w:rPr>
      </w:pPr>
      <w:r w:rsidRPr="001616E2">
        <w:rPr>
          <w:color w:val="auto"/>
        </w:rPr>
        <w:t>For Juluca: participant has documented diagnosis of chronic kidney disease stage 3, 4, or 5</w:t>
      </w:r>
    </w:p>
    <w:p w14:paraId="23192045" w14:textId="77777777" w:rsidR="00BC1E97" w:rsidRDefault="00BC1E97" w:rsidP="00FF24DF">
      <w:pPr>
        <w:pStyle w:val="ListParagraph"/>
        <w:numPr>
          <w:ilvl w:val="0"/>
          <w:numId w:val="0"/>
        </w:numPr>
        <w:ind w:left="360"/>
        <w:rPr>
          <w:rFonts w:cs="Arial"/>
          <w:bCs/>
          <w:szCs w:val="20"/>
        </w:rPr>
      </w:pPr>
    </w:p>
    <w:p w14:paraId="38BE9A66" w14:textId="211150EC" w:rsidR="008F202E" w:rsidRDefault="00635492" w:rsidP="00635492">
      <w:pPr>
        <w:pStyle w:val="ListParagraph"/>
        <w:numPr>
          <w:ilvl w:val="0"/>
          <w:numId w:val="15"/>
        </w:numPr>
        <w:rPr>
          <w:rFonts w:cs="Arial"/>
          <w:bCs/>
          <w:szCs w:val="20"/>
        </w:rPr>
      </w:pPr>
      <w:r>
        <w:rPr>
          <w:rFonts w:cs="Arial"/>
          <w:bCs/>
          <w:szCs w:val="20"/>
        </w:rPr>
        <w:t xml:space="preserve">Claims for </w:t>
      </w:r>
      <w:r w:rsidR="00620E33">
        <w:rPr>
          <w:rFonts w:cs="Arial"/>
          <w:b/>
          <w:color w:val="1F497D" w:themeColor="text2"/>
          <w:szCs w:val="20"/>
        </w:rPr>
        <w:t>T</w:t>
      </w:r>
      <w:r w:rsidRPr="00924E5C">
        <w:rPr>
          <w:rFonts w:cs="Arial"/>
          <w:b/>
          <w:color w:val="1F497D" w:themeColor="text2"/>
          <w:szCs w:val="20"/>
        </w:rPr>
        <w:t>reatment</w:t>
      </w:r>
      <w:r w:rsidR="00620E33">
        <w:rPr>
          <w:rFonts w:cs="Arial"/>
          <w:b/>
          <w:color w:val="1F497D" w:themeColor="text2"/>
          <w:szCs w:val="20"/>
        </w:rPr>
        <w:t>:</w:t>
      </w:r>
      <w:r w:rsidR="00620E33">
        <w:rPr>
          <w:rFonts w:cs="Arial"/>
          <w:bCs/>
          <w:szCs w:val="20"/>
        </w:rPr>
        <w:t xml:space="preserve"> </w:t>
      </w:r>
      <w:r>
        <w:rPr>
          <w:rFonts w:cs="Arial"/>
          <w:b/>
          <w:color w:val="1F497D" w:themeColor="text2"/>
          <w:szCs w:val="20"/>
        </w:rPr>
        <w:t>Multi</w:t>
      </w:r>
      <w:r w:rsidRPr="000F2A48">
        <w:rPr>
          <w:rFonts w:cs="Arial"/>
          <w:b/>
          <w:color w:val="1F497D" w:themeColor="text2"/>
          <w:szCs w:val="20"/>
        </w:rPr>
        <w:t xml:space="preserve">-tablet </w:t>
      </w:r>
      <w:r w:rsidR="00620E33">
        <w:rPr>
          <w:rFonts w:cs="Arial"/>
          <w:b/>
          <w:color w:val="1F497D" w:themeColor="text2"/>
          <w:szCs w:val="20"/>
        </w:rPr>
        <w:t>R</w:t>
      </w:r>
      <w:r w:rsidRPr="000F2A48">
        <w:rPr>
          <w:rFonts w:cs="Arial"/>
          <w:b/>
          <w:color w:val="1F497D" w:themeColor="text2"/>
          <w:szCs w:val="20"/>
        </w:rPr>
        <w:t>egimen</w:t>
      </w:r>
      <w:r w:rsidR="00620E33">
        <w:rPr>
          <w:rFonts w:cs="Arial"/>
          <w:b/>
          <w:color w:val="1F497D" w:themeColor="text2"/>
          <w:szCs w:val="20"/>
        </w:rPr>
        <w:t xml:space="preserve"> agent</w:t>
      </w:r>
      <w:r w:rsidRPr="000F2A48">
        <w:rPr>
          <w:rFonts w:cs="Arial"/>
          <w:b/>
          <w:color w:val="1F497D" w:themeColor="text2"/>
          <w:szCs w:val="20"/>
        </w:rPr>
        <w:t>s</w:t>
      </w:r>
      <w:r>
        <w:rPr>
          <w:rFonts w:cs="Arial"/>
          <w:bCs/>
          <w:szCs w:val="20"/>
        </w:rPr>
        <w:t xml:space="preserve">: </w:t>
      </w:r>
    </w:p>
    <w:p w14:paraId="478865A4" w14:textId="0335FC06" w:rsidR="00635492" w:rsidRDefault="008F202E" w:rsidP="008F202E">
      <w:pPr>
        <w:pStyle w:val="ListParagraph"/>
        <w:numPr>
          <w:ilvl w:val="1"/>
          <w:numId w:val="15"/>
        </w:numPr>
        <w:rPr>
          <w:rFonts w:cs="Arial"/>
          <w:bCs/>
          <w:szCs w:val="20"/>
        </w:rPr>
      </w:pPr>
      <w:r>
        <w:rPr>
          <w:rFonts w:cs="Arial"/>
          <w:bCs/>
          <w:szCs w:val="20"/>
        </w:rPr>
        <w:t>M</w:t>
      </w:r>
      <w:r w:rsidR="00635492">
        <w:rPr>
          <w:rFonts w:cs="Arial"/>
          <w:bCs/>
          <w:szCs w:val="20"/>
        </w:rPr>
        <w:t>ust meet one of the following:</w:t>
      </w:r>
    </w:p>
    <w:p w14:paraId="1D3E9826" w14:textId="711DBBDA" w:rsidR="00A60C91" w:rsidRDefault="00A60C91" w:rsidP="007147A4">
      <w:pPr>
        <w:pStyle w:val="ListParagraph"/>
        <w:numPr>
          <w:ilvl w:val="2"/>
          <w:numId w:val="15"/>
        </w:numPr>
        <w:rPr>
          <w:rFonts w:cs="Arial"/>
          <w:bCs/>
          <w:szCs w:val="20"/>
        </w:rPr>
      </w:pPr>
      <w:r>
        <w:rPr>
          <w:rFonts w:cs="Arial"/>
          <w:bCs/>
          <w:szCs w:val="20"/>
        </w:rPr>
        <w:t>Claim is for a preferred agent;</w:t>
      </w:r>
    </w:p>
    <w:p w14:paraId="5708CAD3" w14:textId="499CBE55" w:rsidR="007147A4" w:rsidRDefault="007147A4" w:rsidP="007147A4">
      <w:pPr>
        <w:pStyle w:val="ListParagraph"/>
        <w:numPr>
          <w:ilvl w:val="2"/>
          <w:numId w:val="15"/>
        </w:numPr>
        <w:rPr>
          <w:rFonts w:cs="Arial"/>
          <w:bCs/>
          <w:szCs w:val="20"/>
        </w:rPr>
      </w:pPr>
      <w:r>
        <w:rPr>
          <w:rFonts w:cs="Arial"/>
          <w:bCs/>
          <w:szCs w:val="20"/>
        </w:rPr>
        <w:t xml:space="preserve">Participant demonstrates compliance to current therapy; </w:t>
      </w:r>
    </w:p>
    <w:p w14:paraId="509B0EDF" w14:textId="77777777" w:rsidR="0021264D" w:rsidRDefault="0021264D" w:rsidP="0021264D">
      <w:pPr>
        <w:pStyle w:val="GWBullets3"/>
        <w:numPr>
          <w:ilvl w:val="0"/>
          <w:numId w:val="27"/>
        </w:numPr>
        <w:spacing w:before="0" w:after="0" w:line="240" w:lineRule="auto"/>
        <w:ind w:left="1080"/>
        <w:rPr>
          <w:b/>
          <w:bCs/>
          <w:color w:val="1F497D" w:themeColor="text2"/>
        </w:rPr>
      </w:pPr>
      <w:r w:rsidRPr="00C53AF1">
        <w:rPr>
          <w:b/>
          <w:bCs/>
          <w:color w:val="1F497D" w:themeColor="text2"/>
        </w:rPr>
        <w:t xml:space="preserve">Failure to achieve desired therapeutic outcomes with trial on 1 </w:t>
      </w:r>
      <w:r>
        <w:rPr>
          <w:b/>
          <w:bCs/>
          <w:color w:val="1F497D" w:themeColor="text2"/>
        </w:rPr>
        <w:t xml:space="preserve">or more </w:t>
      </w:r>
      <w:r w:rsidRPr="00C53AF1">
        <w:rPr>
          <w:b/>
          <w:bCs/>
          <w:color w:val="1F497D" w:themeColor="text2"/>
        </w:rPr>
        <w:t>preferred agent</w:t>
      </w:r>
      <w:r>
        <w:rPr>
          <w:b/>
          <w:bCs/>
          <w:color w:val="1F497D" w:themeColor="text2"/>
        </w:rPr>
        <w:t>s:</w:t>
      </w:r>
    </w:p>
    <w:p w14:paraId="67965F32" w14:textId="77777777" w:rsidR="0021264D" w:rsidRPr="00CE22F5" w:rsidRDefault="0021264D" w:rsidP="0021264D">
      <w:pPr>
        <w:pStyle w:val="ListParagraph"/>
        <w:numPr>
          <w:ilvl w:val="3"/>
          <w:numId w:val="6"/>
        </w:numPr>
        <w:ind w:left="1440"/>
        <w:rPr>
          <w:b/>
          <w:bCs/>
          <w:color w:val="1F497D" w:themeColor="text2"/>
        </w:rPr>
      </w:pPr>
      <w:r w:rsidRPr="00CE22F5">
        <w:rPr>
          <w:b/>
          <w:bCs/>
          <w:color w:val="1F497D" w:themeColor="text2"/>
        </w:rPr>
        <w:t xml:space="preserve">Documented trial period for preferred agents; OR </w:t>
      </w:r>
    </w:p>
    <w:p w14:paraId="0ECEE75F" w14:textId="15454509" w:rsidR="0021264D" w:rsidRPr="00896BF3" w:rsidRDefault="0021264D" w:rsidP="0021264D">
      <w:pPr>
        <w:pStyle w:val="ListParagraph"/>
        <w:numPr>
          <w:ilvl w:val="3"/>
          <w:numId w:val="27"/>
        </w:numPr>
        <w:ind w:left="1440"/>
        <w:rPr>
          <w:b/>
          <w:bCs/>
          <w:color w:val="1F497D" w:themeColor="text2"/>
        </w:rPr>
      </w:pPr>
      <w:r w:rsidRPr="00CE22F5">
        <w:rPr>
          <w:b/>
          <w:bCs/>
          <w:color w:val="1F497D" w:themeColor="text2"/>
        </w:rPr>
        <w:t>Documented ADE/ADR to preferred agents</w:t>
      </w:r>
      <w:r w:rsidRPr="00896BF3">
        <w:rPr>
          <w:b/>
          <w:bCs/>
          <w:color w:val="1F497D" w:themeColor="text2"/>
        </w:rPr>
        <w:t>;</w:t>
      </w:r>
    </w:p>
    <w:p w14:paraId="0759ECA1" w14:textId="44D428C6" w:rsidR="007147A4" w:rsidRPr="005C55F7" w:rsidRDefault="007147A4" w:rsidP="00A90125">
      <w:pPr>
        <w:pStyle w:val="ListParagraph"/>
        <w:numPr>
          <w:ilvl w:val="2"/>
          <w:numId w:val="15"/>
        </w:numPr>
        <w:rPr>
          <w:rFonts w:cs="Arial"/>
          <w:b/>
          <w:strike/>
          <w:color w:val="1F497D" w:themeColor="text2"/>
          <w:szCs w:val="20"/>
        </w:rPr>
      </w:pPr>
      <w:r w:rsidRPr="005C55F7">
        <w:rPr>
          <w:rFonts w:cs="Arial"/>
          <w:b/>
          <w:strike/>
          <w:color w:val="1F497D" w:themeColor="text2"/>
          <w:szCs w:val="20"/>
        </w:rPr>
        <w:t xml:space="preserve">For </w:t>
      </w:r>
      <w:r w:rsidR="00297415">
        <w:rPr>
          <w:rFonts w:cs="Arial"/>
          <w:b/>
          <w:strike/>
          <w:color w:val="1F497D" w:themeColor="text2"/>
          <w:szCs w:val="20"/>
        </w:rPr>
        <w:t>non-</w:t>
      </w:r>
      <w:r w:rsidRPr="005C55F7">
        <w:rPr>
          <w:rFonts w:cs="Arial"/>
          <w:b/>
          <w:strike/>
          <w:color w:val="1F497D" w:themeColor="text2"/>
          <w:szCs w:val="20"/>
        </w:rPr>
        <w:t xml:space="preserve">preferred agents: </w:t>
      </w:r>
      <w:r w:rsidR="004720E0" w:rsidRPr="005C55F7">
        <w:rPr>
          <w:rFonts w:cs="Arial"/>
          <w:b/>
          <w:strike/>
          <w:color w:val="1F497D" w:themeColor="text2"/>
          <w:szCs w:val="20"/>
        </w:rPr>
        <w:t>F</w:t>
      </w:r>
      <w:r w:rsidRPr="005C55F7">
        <w:rPr>
          <w:rFonts w:cs="Arial"/>
          <w:b/>
          <w:strike/>
          <w:color w:val="1F497D" w:themeColor="text2"/>
          <w:szCs w:val="20"/>
        </w:rPr>
        <w:t xml:space="preserve">ailure to achieve desired therapeutic outcomes with trial on 1 </w:t>
      </w:r>
      <w:r w:rsidR="004D041F" w:rsidRPr="005C55F7">
        <w:rPr>
          <w:rFonts w:cs="Arial"/>
          <w:b/>
          <w:strike/>
          <w:color w:val="1F497D" w:themeColor="text2"/>
          <w:szCs w:val="20"/>
        </w:rPr>
        <w:t>preferred</w:t>
      </w:r>
      <w:r w:rsidRPr="005C55F7">
        <w:rPr>
          <w:rFonts w:cs="Arial"/>
          <w:b/>
          <w:strike/>
          <w:color w:val="1F497D" w:themeColor="text2"/>
          <w:szCs w:val="20"/>
        </w:rPr>
        <w:t xml:space="preserve"> agent; </w:t>
      </w:r>
      <w:r w:rsidR="000F196D" w:rsidRPr="005C55F7">
        <w:rPr>
          <w:rFonts w:cs="Arial"/>
          <w:b/>
          <w:strike/>
          <w:color w:val="1F497D" w:themeColor="text2"/>
          <w:szCs w:val="20"/>
        </w:rPr>
        <w:t>AND</w:t>
      </w:r>
    </w:p>
    <w:p w14:paraId="04C6C46C" w14:textId="2CD0787B" w:rsidR="00A90125" w:rsidRPr="005C55F7" w:rsidRDefault="00A90125" w:rsidP="000F196D">
      <w:pPr>
        <w:pStyle w:val="ListParagraph"/>
        <w:numPr>
          <w:ilvl w:val="3"/>
          <w:numId w:val="15"/>
        </w:numPr>
        <w:rPr>
          <w:rFonts w:cs="Arial"/>
          <w:b/>
          <w:strike/>
          <w:color w:val="1F497D" w:themeColor="text2"/>
          <w:szCs w:val="20"/>
        </w:rPr>
      </w:pPr>
      <w:r w:rsidRPr="005C55F7">
        <w:rPr>
          <w:rFonts w:cs="Arial"/>
          <w:b/>
          <w:strike/>
          <w:color w:val="1F497D" w:themeColor="text2"/>
          <w:szCs w:val="20"/>
        </w:rPr>
        <w:lastRenderedPageBreak/>
        <w:t xml:space="preserve">Additional criteria for </w:t>
      </w:r>
      <w:r w:rsidR="00593A69" w:rsidRPr="005C55F7">
        <w:rPr>
          <w:rFonts w:cs="Arial"/>
          <w:b/>
          <w:strike/>
          <w:color w:val="1F497D" w:themeColor="text2"/>
          <w:szCs w:val="20"/>
        </w:rPr>
        <w:t xml:space="preserve">Edurant tablet for suspension: </w:t>
      </w:r>
    </w:p>
    <w:p w14:paraId="3818A183" w14:textId="30F5F5A4" w:rsidR="00593A69" w:rsidRPr="005C55F7" w:rsidRDefault="00AA149E" w:rsidP="00DD3A5C">
      <w:pPr>
        <w:pStyle w:val="ListParagraph"/>
        <w:numPr>
          <w:ilvl w:val="4"/>
          <w:numId w:val="15"/>
        </w:numPr>
        <w:ind w:left="1800"/>
        <w:rPr>
          <w:rFonts w:cs="Arial"/>
          <w:b/>
          <w:strike/>
          <w:color w:val="1F497D" w:themeColor="text2"/>
          <w:szCs w:val="20"/>
        </w:rPr>
      </w:pPr>
      <w:r w:rsidRPr="005C55F7">
        <w:rPr>
          <w:rFonts w:cs="Arial"/>
          <w:b/>
          <w:strike/>
          <w:color w:val="1F497D" w:themeColor="text2"/>
          <w:szCs w:val="20"/>
        </w:rPr>
        <w:t xml:space="preserve">Participant </w:t>
      </w:r>
      <w:r w:rsidR="00582558" w:rsidRPr="005C55F7">
        <w:rPr>
          <w:rFonts w:cs="Arial"/>
          <w:b/>
          <w:strike/>
          <w:color w:val="1F497D" w:themeColor="text2"/>
          <w:szCs w:val="20"/>
        </w:rPr>
        <w:t>is aged &lt; 10 years; OR</w:t>
      </w:r>
    </w:p>
    <w:p w14:paraId="5511C0F0" w14:textId="78A6D800" w:rsidR="00582558" w:rsidRPr="005C55F7" w:rsidRDefault="00582558" w:rsidP="00DD3A5C">
      <w:pPr>
        <w:pStyle w:val="ListParagraph"/>
        <w:numPr>
          <w:ilvl w:val="4"/>
          <w:numId w:val="15"/>
        </w:numPr>
        <w:ind w:left="1800"/>
        <w:rPr>
          <w:rFonts w:cs="Arial"/>
          <w:b/>
          <w:strike/>
          <w:color w:val="1F497D" w:themeColor="text2"/>
          <w:szCs w:val="20"/>
        </w:rPr>
      </w:pPr>
      <w:r w:rsidRPr="005C55F7">
        <w:rPr>
          <w:rFonts w:cs="Arial"/>
          <w:b/>
          <w:strike/>
          <w:color w:val="1F497D" w:themeColor="text2"/>
          <w:szCs w:val="20"/>
        </w:rPr>
        <w:t>Clinical Consultant Review for reason why Edurant 25 mg tablets cannot be utilized</w:t>
      </w:r>
      <w:r w:rsidR="00DD3A5C" w:rsidRPr="005C55F7">
        <w:rPr>
          <w:rFonts w:cs="Arial"/>
          <w:b/>
          <w:strike/>
          <w:color w:val="1F497D" w:themeColor="text2"/>
          <w:szCs w:val="20"/>
        </w:rPr>
        <w:t>; OR</w:t>
      </w:r>
    </w:p>
    <w:p w14:paraId="1FD78627" w14:textId="77777777" w:rsidR="007147A4" w:rsidRPr="005C55F7" w:rsidRDefault="007147A4" w:rsidP="007147A4">
      <w:pPr>
        <w:pStyle w:val="ListParagraph"/>
        <w:numPr>
          <w:ilvl w:val="2"/>
          <w:numId w:val="15"/>
        </w:numPr>
        <w:rPr>
          <w:rFonts w:cs="Arial"/>
          <w:b/>
          <w:strike/>
          <w:color w:val="1F497D" w:themeColor="text2"/>
          <w:szCs w:val="20"/>
        </w:rPr>
      </w:pPr>
      <w:r w:rsidRPr="005C55F7">
        <w:rPr>
          <w:rFonts w:cs="Arial"/>
          <w:b/>
          <w:strike/>
          <w:color w:val="1F497D" w:themeColor="text2"/>
          <w:szCs w:val="20"/>
        </w:rPr>
        <w:t xml:space="preserve">For non-preferred STR agents: </w:t>
      </w:r>
    </w:p>
    <w:p w14:paraId="2A423958" w14:textId="34573BCE" w:rsidR="007147A4" w:rsidRPr="005C55F7" w:rsidRDefault="007147A4" w:rsidP="00A60C91">
      <w:pPr>
        <w:pStyle w:val="ListParagraph"/>
        <w:numPr>
          <w:ilvl w:val="2"/>
          <w:numId w:val="15"/>
        </w:numPr>
        <w:rPr>
          <w:rFonts w:cs="Arial"/>
          <w:b/>
          <w:color w:val="1F497D" w:themeColor="text2"/>
          <w:szCs w:val="20"/>
        </w:rPr>
      </w:pPr>
      <w:r w:rsidRPr="005C55F7">
        <w:rPr>
          <w:rFonts w:cs="Arial"/>
          <w:b/>
          <w:strike/>
          <w:color w:val="1F497D" w:themeColor="text2"/>
          <w:szCs w:val="20"/>
        </w:rPr>
        <w:t>Failure to achieve desired therapeutic outcomes with trial on 1</w:t>
      </w:r>
      <w:r w:rsidR="0018717A" w:rsidRPr="005C55F7">
        <w:rPr>
          <w:rFonts w:cs="Arial"/>
          <w:b/>
          <w:strike/>
          <w:color w:val="1F497D" w:themeColor="text2"/>
          <w:szCs w:val="20"/>
        </w:rPr>
        <w:t xml:space="preserve"> preferred agent</w:t>
      </w:r>
      <w:r w:rsidRPr="005C55F7">
        <w:rPr>
          <w:rFonts w:cs="Arial"/>
          <w:b/>
          <w:strike/>
          <w:color w:val="1F497D" w:themeColor="text2"/>
          <w:szCs w:val="20"/>
        </w:rPr>
        <w:t xml:space="preserve"> Group A agent and 1 Group B STR agent; OR</w:t>
      </w:r>
    </w:p>
    <w:p w14:paraId="499EC121" w14:textId="77777777" w:rsidR="007147A4" w:rsidRPr="005C55F7" w:rsidRDefault="007147A4" w:rsidP="007147A4">
      <w:pPr>
        <w:pStyle w:val="ListParagraph"/>
        <w:numPr>
          <w:ilvl w:val="3"/>
          <w:numId w:val="15"/>
        </w:numPr>
        <w:rPr>
          <w:rFonts w:cs="Arial"/>
          <w:b/>
          <w:strike/>
          <w:color w:val="1F497D" w:themeColor="text2"/>
          <w:szCs w:val="20"/>
        </w:rPr>
      </w:pPr>
      <w:r w:rsidRPr="005C55F7">
        <w:rPr>
          <w:rFonts w:cs="Arial"/>
          <w:b/>
          <w:strike/>
          <w:color w:val="1F497D" w:themeColor="text2"/>
          <w:szCs w:val="20"/>
        </w:rPr>
        <w:t>For Juluca: participant has documented diagnosis of chronic kidney disease stage 3, 4, or 5; OR</w:t>
      </w:r>
    </w:p>
    <w:p w14:paraId="6A63F8DC" w14:textId="77777777" w:rsidR="007147A4" w:rsidRPr="005C55F7" w:rsidRDefault="007147A4" w:rsidP="007147A4">
      <w:pPr>
        <w:pStyle w:val="ListParagraph"/>
        <w:numPr>
          <w:ilvl w:val="2"/>
          <w:numId w:val="15"/>
        </w:numPr>
        <w:rPr>
          <w:rFonts w:cs="Arial"/>
          <w:b/>
          <w:strike/>
          <w:color w:val="1F497D" w:themeColor="text2"/>
          <w:szCs w:val="20"/>
        </w:rPr>
      </w:pPr>
      <w:r w:rsidRPr="005C55F7">
        <w:rPr>
          <w:rFonts w:cs="Arial"/>
          <w:b/>
          <w:strike/>
          <w:color w:val="1F497D" w:themeColor="text2"/>
          <w:szCs w:val="20"/>
        </w:rPr>
        <w:t>For non-preferred non-STR agents:</w:t>
      </w:r>
    </w:p>
    <w:p w14:paraId="184F0304" w14:textId="77777777" w:rsidR="007147A4" w:rsidRPr="005C55F7" w:rsidRDefault="007147A4" w:rsidP="007147A4">
      <w:pPr>
        <w:pStyle w:val="ListParagraph"/>
        <w:numPr>
          <w:ilvl w:val="3"/>
          <w:numId w:val="15"/>
        </w:numPr>
        <w:rPr>
          <w:rFonts w:cs="Arial"/>
          <w:b/>
          <w:strike/>
          <w:color w:val="1F497D" w:themeColor="text2"/>
          <w:szCs w:val="20"/>
        </w:rPr>
      </w:pPr>
      <w:r w:rsidRPr="005C55F7">
        <w:rPr>
          <w:rFonts w:cs="Arial"/>
          <w:b/>
          <w:strike/>
          <w:color w:val="1F497D" w:themeColor="text2"/>
          <w:szCs w:val="20"/>
        </w:rPr>
        <w:t xml:space="preserve">Failure to achieve desired therapeutic outcomes with trial on 1 Group A agent and 1 preferred Group B agent; </w:t>
      </w:r>
    </w:p>
    <w:p w14:paraId="2A3363EE" w14:textId="77777777" w:rsidR="007147A4" w:rsidRPr="00485A40" w:rsidRDefault="007147A4" w:rsidP="008D2400">
      <w:pPr>
        <w:pStyle w:val="ListParagraph"/>
        <w:numPr>
          <w:ilvl w:val="2"/>
          <w:numId w:val="15"/>
        </w:numPr>
        <w:rPr>
          <w:rFonts w:cs="Arial"/>
          <w:bCs/>
          <w:szCs w:val="20"/>
        </w:rPr>
      </w:pPr>
      <w:r w:rsidRPr="00485A40">
        <w:rPr>
          <w:rFonts w:cs="Arial"/>
          <w:bCs/>
          <w:szCs w:val="20"/>
        </w:rPr>
        <w:t>For liquid</w:t>
      </w:r>
      <w:r w:rsidRPr="00564694">
        <w:rPr>
          <w:rFonts w:cs="Arial"/>
          <w:bCs/>
          <w:szCs w:val="20"/>
        </w:rPr>
        <w:t xml:space="preserve">, chewtab, or powder formulations of zidovudine, nevirapine, raltegravir, and </w:t>
      </w:r>
      <w:r w:rsidRPr="00485A40">
        <w:rPr>
          <w:rFonts w:cs="Arial"/>
          <w:bCs/>
          <w:szCs w:val="20"/>
        </w:rPr>
        <w:t>lopinavir/ritonavir:</w:t>
      </w:r>
      <w:r>
        <w:rPr>
          <w:rFonts w:cs="Arial"/>
          <w:bCs/>
          <w:szCs w:val="20"/>
        </w:rPr>
        <w:t xml:space="preserve"> p</w:t>
      </w:r>
      <w:r w:rsidRPr="00485A40">
        <w:rPr>
          <w:rFonts w:cs="Arial"/>
          <w:bCs/>
          <w:szCs w:val="20"/>
        </w:rPr>
        <w:t>articipant &lt; 10 years of age</w:t>
      </w:r>
      <w:r>
        <w:rPr>
          <w:rFonts w:cs="Arial"/>
          <w:bCs/>
          <w:szCs w:val="20"/>
        </w:rPr>
        <w:t>;</w:t>
      </w:r>
    </w:p>
    <w:p w14:paraId="108D7323" w14:textId="77777777" w:rsidR="007147A4" w:rsidRPr="00485A40" w:rsidRDefault="007147A4" w:rsidP="00B249F0">
      <w:pPr>
        <w:pStyle w:val="ListParagraph"/>
        <w:numPr>
          <w:ilvl w:val="2"/>
          <w:numId w:val="15"/>
        </w:numPr>
        <w:rPr>
          <w:rFonts w:cs="Arial"/>
          <w:bCs/>
          <w:szCs w:val="20"/>
        </w:rPr>
      </w:pPr>
      <w:r>
        <w:rPr>
          <w:rFonts w:cs="Arial"/>
          <w:bCs/>
          <w:szCs w:val="20"/>
        </w:rPr>
        <w:t>F</w:t>
      </w:r>
      <w:r w:rsidRPr="00485A40">
        <w:rPr>
          <w:rFonts w:cs="Arial"/>
          <w:bCs/>
          <w:szCs w:val="20"/>
        </w:rPr>
        <w:t>or Viread:</w:t>
      </w:r>
      <w:r>
        <w:rPr>
          <w:rFonts w:cs="Arial"/>
          <w:bCs/>
          <w:szCs w:val="20"/>
        </w:rPr>
        <w:t xml:space="preserve"> p</w:t>
      </w:r>
      <w:r w:rsidRPr="00485A40">
        <w:rPr>
          <w:rFonts w:cs="Arial"/>
          <w:bCs/>
          <w:szCs w:val="20"/>
        </w:rPr>
        <w:t>articipant has documented diagnosis of hepatitis B infecti</w:t>
      </w:r>
      <w:r>
        <w:rPr>
          <w:rFonts w:cs="Arial"/>
          <w:bCs/>
          <w:szCs w:val="20"/>
        </w:rPr>
        <w:t xml:space="preserve">on; </w:t>
      </w:r>
    </w:p>
    <w:p w14:paraId="1D86B8BE" w14:textId="77777777" w:rsidR="007147A4" w:rsidRPr="00915C6F" w:rsidRDefault="007147A4" w:rsidP="005213B3">
      <w:pPr>
        <w:pStyle w:val="ListParagraph"/>
        <w:numPr>
          <w:ilvl w:val="2"/>
          <w:numId w:val="15"/>
        </w:numPr>
        <w:rPr>
          <w:rFonts w:cs="Arial"/>
          <w:bCs/>
          <w:szCs w:val="20"/>
        </w:rPr>
      </w:pPr>
      <w:r w:rsidRPr="00EA2D24">
        <w:rPr>
          <w:rFonts w:cs="Arial"/>
          <w:bCs/>
          <w:szCs w:val="20"/>
        </w:rPr>
        <w:t>For Rukobia: documented therapy with Sunlenca in the past year</w:t>
      </w:r>
      <w:r>
        <w:rPr>
          <w:rFonts w:cs="Arial"/>
          <w:bCs/>
          <w:szCs w:val="20"/>
        </w:rPr>
        <w:t xml:space="preserve">; </w:t>
      </w:r>
      <w:r w:rsidRPr="00B6023A">
        <w:rPr>
          <w:rFonts w:cs="Arial"/>
          <w:b/>
          <w:bCs/>
          <w:szCs w:val="20"/>
        </w:rPr>
        <w:t>OR</w:t>
      </w:r>
    </w:p>
    <w:p w14:paraId="546A1F3F" w14:textId="77777777" w:rsidR="007147A4" w:rsidRPr="00485A40" w:rsidRDefault="007147A4" w:rsidP="005213B3">
      <w:pPr>
        <w:pStyle w:val="ListParagraph"/>
        <w:numPr>
          <w:ilvl w:val="2"/>
          <w:numId w:val="15"/>
        </w:numPr>
        <w:rPr>
          <w:rFonts w:cs="Arial"/>
          <w:bCs/>
          <w:szCs w:val="20"/>
        </w:rPr>
      </w:pPr>
      <w:r>
        <w:rPr>
          <w:rFonts w:cs="Arial"/>
          <w:bCs/>
          <w:szCs w:val="20"/>
        </w:rPr>
        <w:t>F</w:t>
      </w:r>
      <w:r w:rsidRPr="00485A40">
        <w:rPr>
          <w:rFonts w:cs="Arial"/>
          <w:bCs/>
          <w:szCs w:val="20"/>
        </w:rPr>
        <w:t>or Cabenuva</w:t>
      </w:r>
      <w:r>
        <w:rPr>
          <w:rFonts w:cs="Arial"/>
          <w:bCs/>
          <w:szCs w:val="20"/>
        </w:rPr>
        <w:t xml:space="preserve"> must meet all of the following</w:t>
      </w:r>
      <w:r w:rsidRPr="00485A40">
        <w:rPr>
          <w:rFonts w:cs="Arial"/>
          <w:bCs/>
          <w:szCs w:val="20"/>
        </w:rPr>
        <w:t>:</w:t>
      </w:r>
    </w:p>
    <w:p w14:paraId="063DA602" w14:textId="77777777" w:rsidR="007147A4" w:rsidRPr="00485A40" w:rsidRDefault="007147A4" w:rsidP="005213B3">
      <w:pPr>
        <w:pStyle w:val="ListParagraph"/>
        <w:numPr>
          <w:ilvl w:val="3"/>
          <w:numId w:val="15"/>
        </w:numPr>
        <w:rPr>
          <w:rFonts w:cs="Arial"/>
          <w:bCs/>
          <w:szCs w:val="20"/>
        </w:rPr>
      </w:pPr>
      <w:r w:rsidRPr="00485A40">
        <w:rPr>
          <w:rFonts w:cs="Arial"/>
          <w:bCs/>
          <w:szCs w:val="20"/>
        </w:rPr>
        <w:t>Participant ≥ 12 years</w:t>
      </w:r>
      <w:r>
        <w:rPr>
          <w:rFonts w:cs="Arial"/>
          <w:bCs/>
          <w:szCs w:val="20"/>
        </w:rPr>
        <w:t xml:space="preserve"> of age</w:t>
      </w:r>
      <w:r w:rsidRPr="00485A40">
        <w:rPr>
          <w:rFonts w:cs="Arial"/>
          <w:bCs/>
          <w:szCs w:val="20"/>
        </w:rPr>
        <w:t>;</w:t>
      </w:r>
    </w:p>
    <w:p w14:paraId="06164058" w14:textId="77777777" w:rsidR="007147A4" w:rsidRPr="00485A40" w:rsidRDefault="007147A4" w:rsidP="005213B3">
      <w:pPr>
        <w:pStyle w:val="ListParagraph"/>
        <w:numPr>
          <w:ilvl w:val="3"/>
          <w:numId w:val="15"/>
        </w:numPr>
        <w:rPr>
          <w:rFonts w:cs="Arial"/>
          <w:bCs/>
          <w:szCs w:val="20"/>
        </w:rPr>
      </w:pPr>
      <w:r w:rsidRPr="00485A40">
        <w:rPr>
          <w:rFonts w:cs="Arial"/>
          <w:bCs/>
          <w:szCs w:val="20"/>
        </w:rPr>
        <w:t>Dosage regimen is for every two-month administration;</w:t>
      </w:r>
    </w:p>
    <w:p w14:paraId="1EAF2A7D" w14:textId="77777777" w:rsidR="007147A4" w:rsidRPr="00485A40" w:rsidRDefault="007147A4" w:rsidP="005213B3">
      <w:pPr>
        <w:pStyle w:val="ListParagraph"/>
        <w:numPr>
          <w:ilvl w:val="3"/>
          <w:numId w:val="15"/>
        </w:numPr>
        <w:rPr>
          <w:rFonts w:cs="Arial"/>
          <w:bCs/>
          <w:szCs w:val="20"/>
        </w:rPr>
      </w:pPr>
      <w:r w:rsidRPr="00485A40">
        <w:rPr>
          <w:rFonts w:cs="Arial"/>
          <w:bCs/>
          <w:szCs w:val="20"/>
        </w:rPr>
        <w:t xml:space="preserve">Documentation that participant is virologically suppressed (HIV-1 RNA &lt; 50 copies/mL); </w:t>
      </w:r>
      <w:r w:rsidRPr="00915C6F">
        <w:rPr>
          <w:rFonts w:cs="Arial"/>
          <w:b/>
          <w:bCs/>
          <w:szCs w:val="20"/>
        </w:rPr>
        <w:t>AND</w:t>
      </w:r>
    </w:p>
    <w:p w14:paraId="40FDD1EE" w14:textId="77777777" w:rsidR="007147A4" w:rsidRPr="00485A40" w:rsidRDefault="007147A4" w:rsidP="005213B3">
      <w:pPr>
        <w:pStyle w:val="ListParagraph"/>
        <w:numPr>
          <w:ilvl w:val="3"/>
          <w:numId w:val="15"/>
        </w:numPr>
        <w:rPr>
          <w:rFonts w:cs="Arial"/>
          <w:bCs/>
          <w:szCs w:val="20"/>
        </w:rPr>
      </w:pPr>
      <w:r>
        <w:rPr>
          <w:rFonts w:cs="Arial"/>
          <w:bCs/>
          <w:szCs w:val="20"/>
        </w:rPr>
        <w:t>Must meet o</w:t>
      </w:r>
      <w:r w:rsidRPr="00485A40">
        <w:rPr>
          <w:rFonts w:cs="Arial"/>
          <w:bCs/>
          <w:szCs w:val="20"/>
        </w:rPr>
        <w:t>ne of the following:</w:t>
      </w:r>
    </w:p>
    <w:p w14:paraId="646B6D1A" w14:textId="77777777" w:rsidR="007147A4" w:rsidRPr="00485A40" w:rsidRDefault="007147A4" w:rsidP="005213B3">
      <w:pPr>
        <w:pStyle w:val="ListParagraph"/>
        <w:numPr>
          <w:ilvl w:val="4"/>
          <w:numId w:val="15"/>
        </w:numPr>
        <w:ind w:left="1800"/>
        <w:rPr>
          <w:rFonts w:cs="Arial"/>
          <w:bCs/>
          <w:szCs w:val="20"/>
        </w:rPr>
      </w:pPr>
      <w:r w:rsidRPr="00485A40">
        <w:rPr>
          <w:rFonts w:cs="Arial"/>
          <w:bCs/>
          <w:szCs w:val="20"/>
        </w:rPr>
        <w:t xml:space="preserve">Documented compliance to oral ART regimen for at least 3 months; </w:t>
      </w:r>
      <w:r w:rsidRPr="00A53541">
        <w:rPr>
          <w:rFonts w:cs="Arial"/>
          <w:b/>
          <w:bCs/>
          <w:szCs w:val="20"/>
        </w:rPr>
        <w:t>OR</w:t>
      </w:r>
    </w:p>
    <w:p w14:paraId="08456FE4" w14:textId="77777777" w:rsidR="007147A4" w:rsidRDefault="007147A4" w:rsidP="005213B3">
      <w:pPr>
        <w:pStyle w:val="ListParagraph"/>
        <w:numPr>
          <w:ilvl w:val="4"/>
          <w:numId w:val="15"/>
        </w:numPr>
        <w:ind w:left="1800"/>
        <w:rPr>
          <w:rFonts w:cs="Arial"/>
          <w:bCs/>
          <w:szCs w:val="20"/>
        </w:rPr>
      </w:pPr>
      <w:r w:rsidRPr="00485A40">
        <w:rPr>
          <w:rFonts w:cs="Arial"/>
          <w:bCs/>
          <w:szCs w:val="20"/>
        </w:rPr>
        <w:t>Documented inability to swallow tablets</w:t>
      </w:r>
      <w:r>
        <w:rPr>
          <w:rFonts w:cs="Arial"/>
          <w:bCs/>
          <w:szCs w:val="20"/>
        </w:rPr>
        <w:t>.</w:t>
      </w:r>
    </w:p>
    <w:p w14:paraId="14D9F6F2" w14:textId="77777777" w:rsidR="00BC1E97" w:rsidRDefault="00BC1E97" w:rsidP="001616E2">
      <w:pPr>
        <w:pStyle w:val="ListParagraph"/>
        <w:numPr>
          <w:ilvl w:val="0"/>
          <w:numId w:val="0"/>
        </w:numPr>
        <w:ind w:left="360"/>
        <w:rPr>
          <w:rFonts w:cs="Arial"/>
          <w:bCs/>
          <w:szCs w:val="20"/>
        </w:rPr>
      </w:pPr>
    </w:p>
    <w:p w14:paraId="6AE23174" w14:textId="6ECF0A9E" w:rsidR="007147A4" w:rsidRDefault="00BA6B8C" w:rsidP="007147A4">
      <w:pPr>
        <w:pStyle w:val="ListParagraph"/>
        <w:numPr>
          <w:ilvl w:val="0"/>
          <w:numId w:val="15"/>
        </w:numPr>
        <w:rPr>
          <w:rFonts w:cs="Arial"/>
          <w:bCs/>
          <w:szCs w:val="20"/>
        </w:rPr>
      </w:pPr>
      <w:r>
        <w:rPr>
          <w:rFonts w:cs="Arial"/>
          <w:bCs/>
          <w:szCs w:val="20"/>
        </w:rPr>
        <w:t xml:space="preserve">Claims for </w:t>
      </w:r>
      <w:r w:rsidRPr="001616E2">
        <w:rPr>
          <w:rFonts w:cs="Arial"/>
          <w:b/>
          <w:color w:val="1F497D" w:themeColor="text2"/>
          <w:szCs w:val="20"/>
        </w:rPr>
        <w:t xml:space="preserve">Prevention </w:t>
      </w:r>
      <w:r w:rsidR="00BC1E97" w:rsidRPr="001616E2">
        <w:rPr>
          <w:rFonts w:cs="Arial"/>
          <w:b/>
          <w:color w:val="1F497D" w:themeColor="text2"/>
          <w:szCs w:val="20"/>
        </w:rPr>
        <w:t>agents</w:t>
      </w:r>
      <w:r w:rsidR="00BC1E97">
        <w:rPr>
          <w:rFonts w:cs="Arial"/>
          <w:bCs/>
          <w:szCs w:val="20"/>
        </w:rPr>
        <w:t>:</w:t>
      </w:r>
      <w:r w:rsidR="0024286E" w:rsidRPr="00251B39">
        <w:rPr>
          <w:rFonts w:cs="Arial"/>
          <w:bCs/>
          <w:color w:val="1F497D" w:themeColor="text2"/>
          <w:szCs w:val="20"/>
        </w:rPr>
        <w:t xml:space="preserve"> </w:t>
      </w:r>
    </w:p>
    <w:p w14:paraId="320F58A2" w14:textId="7A9238F2" w:rsidR="00285392" w:rsidRDefault="00285392" w:rsidP="007147A4">
      <w:pPr>
        <w:pStyle w:val="ListParagraph"/>
        <w:numPr>
          <w:ilvl w:val="1"/>
          <w:numId w:val="15"/>
        </w:numPr>
        <w:rPr>
          <w:rFonts w:cs="Arial"/>
          <w:bCs/>
          <w:szCs w:val="20"/>
        </w:rPr>
      </w:pPr>
      <w:r>
        <w:rPr>
          <w:rFonts w:cs="Arial"/>
          <w:bCs/>
          <w:szCs w:val="20"/>
        </w:rPr>
        <w:t>Initial Therapy:</w:t>
      </w:r>
    </w:p>
    <w:p w14:paraId="02900EC1" w14:textId="4CA35C0E" w:rsidR="007147A4" w:rsidRDefault="007147A4" w:rsidP="001616E2">
      <w:pPr>
        <w:pStyle w:val="ListParagraph"/>
        <w:numPr>
          <w:ilvl w:val="2"/>
          <w:numId w:val="15"/>
        </w:numPr>
        <w:rPr>
          <w:rFonts w:cs="Arial"/>
          <w:bCs/>
          <w:szCs w:val="20"/>
        </w:rPr>
      </w:pPr>
      <w:r>
        <w:rPr>
          <w:rFonts w:cs="Arial"/>
          <w:bCs/>
          <w:szCs w:val="20"/>
        </w:rPr>
        <w:t>Must meet one of the following:</w:t>
      </w:r>
    </w:p>
    <w:p w14:paraId="6B92ACE5" w14:textId="77777777" w:rsidR="007147A4" w:rsidRDefault="007147A4" w:rsidP="001616E2">
      <w:pPr>
        <w:pStyle w:val="ListParagraph"/>
        <w:numPr>
          <w:ilvl w:val="3"/>
          <w:numId w:val="15"/>
        </w:numPr>
        <w:rPr>
          <w:rFonts w:cs="Arial"/>
          <w:bCs/>
          <w:szCs w:val="20"/>
        </w:rPr>
      </w:pPr>
      <w:r>
        <w:rPr>
          <w:rFonts w:cs="Arial"/>
          <w:bCs/>
          <w:szCs w:val="20"/>
        </w:rPr>
        <w:t xml:space="preserve">Claim is for the preferred agent </w:t>
      </w:r>
      <w:r>
        <w:rPr>
          <w:rFonts w:cs="Arial"/>
          <w:spacing w:val="-3"/>
          <w:szCs w:val="20"/>
        </w:rPr>
        <w:t>Emtricitabine/Tenofovir disoproxil (gen Truvada)</w:t>
      </w:r>
      <w:r>
        <w:rPr>
          <w:rFonts w:cs="Arial"/>
          <w:bCs/>
          <w:szCs w:val="20"/>
        </w:rPr>
        <w:t xml:space="preserve">; </w:t>
      </w:r>
    </w:p>
    <w:p w14:paraId="74FFC287" w14:textId="77777777" w:rsidR="007147A4" w:rsidRPr="00993E45" w:rsidRDefault="007147A4" w:rsidP="001616E2">
      <w:pPr>
        <w:pStyle w:val="ListParagraph"/>
        <w:numPr>
          <w:ilvl w:val="3"/>
          <w:numId w:val="15"/>
        </w:numPr>
        <w:rPr>
          <w:rFonts w:cs="Arial"/>
          <w:bCs/>
          <w:szCs w:val="20"/>
        </w:rPr>
      </w:pPr>
      <w:r w:rsidRPr="00EA2D24">
        <w:rPr>
          <w:rFonts w:cs="Arial"/>
          <w:bCs/>
          <w:szCs w:val="20"/>
        </w:rPr>
        <w:t xml:space="preserve">For brand Truvada: </w:t>
      </w:r>
      <w:r>
        <w:rPr>
          <w:rFonts w:cs="Arial"/>
          <w:bCs/>
          <w:szCs w:val="20"/>
        </w:rPr>
        <w:t>d</w:t>
      </w:r>
      <w:r w:rsidRPr="00EA2D24">
        <w:rPr>
          <w:rFonts w:cs="Arial"/>
          <w:bCs/>
          <w:szCs w:val="20"/>
        </w:rPr>
        <w:t xml:space="preserve">ocumented allergy to </w:t>
      </w:r>
      <w:r w:rsidRPr="00EA2D24">
        <w:rPr>
          <w:rFonts w:cs="Arial"/>
          <w:spacing w:val="-3"/>
          <w:szCs w:val="20"/>
          <w:lang w:val="it-IT"/>
        </w:rPr>
        <w:t>Emtricitabine/Tenofovir disoproxil</w:t>
      </w:r>
      <w:r>
        <w:rPr>
          <w:rFonts w:cs="Arial"/>
          <w:spacing w:val="-3"/>
          <w:szCs w:val="20"/>
          <w:lang w:val="it-IT"/>
        </w:rPr>
        <w:t>;</w:t>
      </w:r>
    </w:p>
    <w:p w14:paraId="12D6B732" w14:textId="77777777" w:rsidR="007147A4" w:rsidRPr="00EA2D24" w:rsidRDefault="007147A4" w:rsidP="001616E2">
      <w:pPr>
        <w:pStyle w:val="ListParagraph"/>
        <w:numPr>
          <w:ilvl w:val="3"/>
          <w:numId w:val="15"/>
        </w:numPr>
        <w:rPr>
          <w:rFonts w:cs="Arial"/>
          <w:bCs/>
          <w:szCs w:val="20"/>
        </w:rPr>
      </w:pPr>
      <w:r w:rsidRPr="00EA2D24">
        <w:rPr>
          <w:rFonts w:cs="Arial"/>
          <w:bCs/>
          <w:szCs w:val="20"/>
        </w:rPr>
        <w:t xml:space="preserve">For Descovy: </w:t>
      </w:r>
      <w:r>
        <w:rPr>
          <w:rFonts w:cs="Arial"/>
          <w:bCs/>
          <w:szCs w:val="20"/>
        </w:rPr>
        <w:t>d</w:t>
      </w:r>
      <w:r w:rsidRPr="00EA2D24">
        <w:rPr>
          <w:rFonts w:cs="Arial"/>
          <w:bCs/>
          <w:szCs w:val="20"/>
        </w:rPr>
        <w:t>ocumentation of medical necessity (e</w:t>
      </w:r>
      <w:r>
        <w:rPr>
          <w:rFonts w:cs="Arial"/>
          <w:bCs/>
          <w:szCs w:val="20"/>
        </w:rPr>
        <w:t>.g.</w:t>
      </w:r>
      <w:r w:rsidRPr="00EA2D24">
        <w:rPr>
          <w:rFonts w:cs="Arial"/>
          <w:bCs/>
          <w:szCs w:val="20"/>
        </w:rPr>
        <w:t xml:space="preserve"> ADE/ADR to Emtricitabine/Tenofovir disoproxil, renal insufficiency, or osteoporosis)</w:t>
      </w:r>
      <w:r>
        <w:rPr>
          <w:rFonts w:cs="Arial"/>
          <w:bCs/>
          <w:szCs w:val="20"/>
        </w:rPr>
        <w:t xml:space="preserve">; </w:t>
      </w:r>
      <w:r w:rsidRPr="00993E45">
        <w:rPr>
          <w:rFonts w:cs="Arial"/>
          <w:b/>
          <w:bCs/>
          <w:szCs w:val="20"/>
        </w:rPr>
        <w:t>OR</w:t>
      </w:r>
    </w:p>
    <w:p w14:paraId="523EC045" w14:textId="6801CD7A" w:rsidR="007147A4" w:rsidRPr="00E2406F" w:rsidRDefault="007147A4" w:rsidP="001616E2">
      <w:pPr>
        <w:pStyle w:val="ListParagraph"/>
        <w:numPr>
          <w:ilvl w:val="3"/>
          <w:numId w:val="15"/>
        </w:numPr>
        <w:rPr>
          <w:rFonts w:cs="Arial"/>
          <w:bCs/>
          <w:szCs w:val="20"/>
        </w:rPr>
      </w:pPr>
      <w:r w:rsidRPr="00E2406F">
        <w:rPr>
          <w:rFonts w:cs="Arial"/>
          <w:bCs/>
          <w:szCs w:val="20"/>
        </w:rPr>
        <w:t>For Apretude</w:t>
      </w:r>
      <w:r>
        <w:rPr>
          <w:rFonts w:cs="Arial"/>
          <w:bCs/>
          <w:szCs w:val="20"/>
        </w:rPr>
        <w:t xml:space="preserve"> </w:t>
      </w:r>
      <w:r w:rsidRPr="007147A4">
        <w:rPr>
          <w:rFonts w:cs="Arial"/>
          <w:b/>
          <w:color w:val="1F497D" w:themeColor="text2"/>
          <w:szCs w:val="20"/>
        </w:rPr>
        <w:t>or Yeztugo</w:t>
      </w:r>
      <w:r w:rsidRPr="00BC7192">
        <w:rPr>
          <w:rFonts w:cs="Arial"/>
          <w:b/>
          <w:color w:val="0070C0"/>
          <w:szCs w:val="20"/>
        </w:rPr>
        <w:t>,</w:t>
      </w:r>
      <w:r w:rsidRPr="00BC7192">
        <w:rPr>
          <w:rFonts w:cs="Arial"/>
          <w:bCs/>
          <w:color w:val="0070C0"/>
          <w:szCs w:val="20"/>
        </w:rPr>
        <w:t xml:space="preserve"> </w:t>
      </w:r>
      <w:r>
        <w:rPr>
          <w:rFonts w:cs="Arial"/>
          <w:bCs/>
          <w:szCs w:val="20"/>
        </w:rPr>
        <w:t>must meet all of the following</w:t>
      </w:r>
      <w:r w:rsidRPr="00E2406F">
        <w:rPr>
          <w:rFonts w:cs="Arial"/>
          <w:bCs/>
          <w:szCs w:val="20"/>
        </w:rPr>
        <w:t xml:space="preserve">: </w:t>
      </w:r>
    </w:p>
    <w:p w14:paraId="4C62FF5E" w14:textId="77777777" w:rsidR="007147A4" w:rsidRPr="00E2406F" w:rsidRDefault="007147A4" w:rsidP="001616E2">
      <w:pPr>
        <w:pStyle w:val="ListParagraph"/>
        <w:numPr>
          <w:ilvl w:val="4"/>
          <w:numId w:val="15"/>
        </w:numPr>
        <w:ind w:left="1800"/>
        <w:rPr>
          <w:rFonts w:cs="Arial"/>
          <w:bCs/>
          <w:szCs w:val="20"/>
        </w:rPr>
      </w:pPr>
      <w:r w:rsidRPr="00E2406F">
        <w:rPr>
          <w:rFonts w:cs="Arial"/>
          <w:bCs/>
          <w:szCs w:val="20"/>
        </w:rPr>
        <w:t>Documentation of medical necessity (</w:t>
      </w:r>
      <w:r>
        <w:rPr>
          <w:rFonts w:cs="Arial"/>
          <w:bCs/>
          <w:szCs w:val="20"/>
        </w:rPr>
        <w:t>e.g.</w:t>
      </w:r>
      <w:r w:rsidRPr="00E2406F">
        <w:rPr>
          <w:rFonts w:cs="Arial"/>
          <w:bCs/>
          <w:szCs w:val="20"/>
        </w:rPr>
        <w:t xml:space="preserve"> ADE/ADR to </w:t>
      </w:r>
      <w:r w:rsidRPr="004B7BC3">
        <w:rPr>
          <w:rFonts w:cs="Arial"/>
          <w:spacing w:val="-3"/>
          <w:szCs w:val="20"/>
          <w:lang w:val="it-IT"/>
        </w:rPr>
        <w:t xml:space="preserve">Emtricitabine/Tenofovir disoproxil </w:t>
      </w:r>
      <w:r w:rsidRPr="00E2406F">
        <w:rPr>
          <w:rFonts w:cs="Arial"/>
          <w:bCs/>
          <w:szCs w:val="20"/>
        </w:rPr>
        <w:t>or renal insufficiency)</w:t>
      </w:r>
      <w:r>
        <w:rPr>
          <w:rFonts w:cs="Arial"/>
          <w:bCs/>
          <w:szCs w:val="20"/>
        </w:rPr>
        <w:t>;</w:t>
      </w:r>
      <w:r w:rsidRPr="00E2406F">
        <w:rPr>
          <w:rFonts w:cs="Arial"/>
          <w:bCs/>
          <w:szCs w:val="20"/>
        </w:rPr>
        <w:t xml:space="preserve"> </w:t>
      </w:r>
      <w:r w:rsidRPr="00E2406F">
        <w:rPr>
          <w:rFonts w:cs="Arial"/>
          <w:b/>
          <w:szCs w:val="20"/>
        </w:rPr>
        <w:t>AND</w:t>
      </w:r>
    </w:p>
    <w:p w14:paraId="0CEB8CFF" w14:textId="77777777" w:rsidR="007147A4" w:rsidRPr="00E2406F" w:rsidRDefault="007147A4" w:rsidP="001616E2">
      <w:pPr>
        <w:pStyle w:val="ListParagraph"/>
        <w:numPr>
          <w:ilvl w:val="4"/>
          <w:numId w:val="15"/>
        </w:numPr>
        <w:ind w:left="1800"/>
        <w:rPr>
          <w:rFonts w:cs="Arial"/>
          <w:bCs/>
          <w:szCs w:val="20"/>
        </w:rPr>
      </w:pPr>
      <w:r w:rsidRPr="00E2406F">
        <w:rPr>
          <w:rFonts w:cs="Arial"/>
          <w:bCs/>
          <w:szCs w:val="20"/>
        </w:rPr>
        <w:t>Participant must have a negative test for HIV within one month before initiating therapy</w:t>
      </w:r>
      <w:r>
        <w:rPr>
          <w:rFonts w:cs="Arial"/>
          <w:bCs/>
          <w:szCs w:val="20"/>
        </w:rPr>
        <w:t>.</w:t>
      </w:r>
    </w:p>
    <w:p w14:paraId="438CCFEE" w14:textId="48548737" w:rsidR="007147A4" w:rsidRDefault="007147A4" w:rsidP="001616E2">
      <w:pPr>
        <w:pStyle w:val="ListParagraph"/>
        <w:numPr>
          <w:ilvl w:val="2"/>
          <w:numId w:val="15"/>
        </w:numPr>
        <w:rPr>
          <w:rFonts w:cs="Arial"/>
          <w:bCs/>
          <w:szCs w:val="20"/>
        </w:rPr>
      </w:pPr>
      <w:r w:rsidRPr="00D60A5D">
        <w:rPr>
          <w:rFonts w:cs="Arial"/>
          <w:bCs/>
          <w:szCs w:val="20"/>
        </w:rPr>
        <w:t>Initial approval period</w:t>
      </w:r>
      <w:r>
        <w:rPr>
          <w:rFonts w:cs="Arial"/>
          <w:bCs/>
          <w:szCs w:val="20"/>
        </w:rPr>
        <w:t>:</w:t>
      </w:r>
    </w:p>
    <w:p w14:paraId="0C11A745" w14:textId="77777777" w:rsidR="007147A4" w:rsidRDefault="007147A4" w:rsidP="001616E2">
      <w:pPr>
        <w:pStyle w:val="ListParagraph"/>
        <w:numPr>
          <w:ilvl w:val="3"/>
          <w:numId w:val="15"/>
        </w:numPr>
        <w:rPr>
          <w:rFonts w:cs="Arial"/>
          <w:bCs/>
          <w:szCs w:val="20"/>
        </w:rPr>
      </w:pPr>
      <w:r>
        <w:rPr>
          <w:rFonts w:cs="Arial"/>
          <w:bCs/>
          <w:szCs w:val="20"/>
        </w:rPr>
        <w:t>For Apretude: 6 months</w:t>
      </w:r>
    </w:p>
    <w:p w14:paraId="1C4AB253" w14:textId="77777777" w:rsidR="007147A4" w:rsidRPr="00220DC8" w:rsidRDefault="007147A4" w:rsidP="001616E2">
      <w:pPr>
        <w:pStyle w:val="ListParagraph"/>
        <w:numPr>
          <w:ilvl w:val="3"/>
          <w:numId w:val="15"/>
        </w:numPr>
        <w:rPr>
          <w:rFonts w:cs="Arial"/>
          <w:bCs/>
          <w:szCs w:val="20"/>
        </w:rPr>
      </w:pPr>
      <w:r>
        <w:rPr>
          <w:rFonts w:cs="Arial"/>
          <w:bCs/>
          <w:szCs w:val="20"/>
        </w:rPr>
        <w:t>For all other agents</w:t>
      </w:r>
      <w:r w:rsidRPr="00D60A5D">
        <w:rPr>
          <w:rFonts w:cs="Arial"/>
          <w:bCs/>
          <w:szCs w:val="20"/>
        </w:rPr>
        <w:t xml:space="preserve">: </w:t>
      </w:r>
      <w:r w:rsidRPr="00220DC8">
        <w:rPr>
          <w:rFonts w:cs="Arial"/>
          <w:szCs w:val="20"/>
        </w:rPr>
        <w:t>1 year</w:t>
      </w:r>
    </w:p>
    <w:p w14:paraId="7EC2017B" w14:textId="77777777" w:rsidR="00635DDB" w:rsidRPr="001616E2" w:rsidRDefault="00635DDB" w:rsidP="00FF24DF">
      <w:pPr>
        <w:pStyle w:val="ListParagraph"/>
        <w:numPr>
          <w:ilvl w:val="1"/>
          <w:numId w:val="15"/>
        </w:numPr>
      </w:pPr>
      <w:r w:rsidRPr="001616E2">
        <w:t>Continuation of Therapy:</w:t>
      </w:r>
    </w:p>
    <w:p w14:paraId="1FF9116B" w14:textId="77777777" w:rsidR="007147A4" w:rsidRDefault="007147A4" w:rsidP="007147A4">
      <w:pPr>
        <w:pStyle w:val="ListParagraph"/>
        <w:numPr>
          <w:ilvl w:val="0"/>
          <w:numId w:val="16"/>
        </w:numPr>
        <w:rPr>
          <w:rFonts w:cs="Arial"/>
          <w:bCs/>
          <w:szCs w:val="20"/>
        </w:rPr>
      </w:pPr>
      <w:r w:rsidRPr="00A92A0C">
        <w:rPr>
          <w:rFonts w:cs="Arial"/>
          <w:bCs/>
          <w:szCs w:val="20"/>
        </w:rPr>
        <w:t>Documented adherence to therapy: Compliance is important, and non-compliance increases the risk for drug resistance.</w:t>
      </w:r>
    </w:p>
    <w:p w14:paraId="311DEE85" w14:textId="77777777" w:rsidR="007147A4" w:rsidRPr="00A07D19" w:rsidRDefault="007147A4" w:rsidP="001616E2">
      <w:pPr>
        <w:pStyle w:val="ListParagraph"/>
        <w:numPr>
          <w:ilvl w:val="2"/>
          <w:numId w:val="31"/>
        </w:numPr>
        <w:rPr>
          <w:rFonts w:cs="Arial"/>
          <w:bCs/>
          <w:szCs w:val="20"/>
        </w:rPr>
      </w:pPr>
      <w:r w:rsidRPr="00A07D19">
        <w:rPr>
          <w:rFonts w:cs="Arial"/>
          <w:bCs/>
          <w:szCs w:val="20"/>
        </w:rPr>
        <w:t xml:space="preserve">If a participant misses one of the first three doses of Apretude initiation no additional prior authorization to continue will be granted. </w:t>
      </w:r>
    </w:p>
    <w:p w14:paraId="64542414" w14:textId="77777777" w:rsidR="007147A4" w:rsidRPr="00A07D19" w:rsidRDefault="007147A4" w:rsidP="001616E2">
      <w:pPr>
        <w:pStyle w:val="ListParagraph"/>
        <w:numPr>
          <w:ilvl w:val="2"/>
          <w:numId w:val="31"/>
        </w:numPr>
        <w:rPr>
          <w:rFonts w:cs="Arial"/>
          <w:bCs/>
          <w:szCs w:val="20"/>
        </w:rPr>
      </w:pPr>
      <w:r w:rsidRPr="00A07D19">
        <w:rPr>
          <w:rFonts w:cs="Arial"/>
          <w:bCs/>
          <w:szCs w:val="20"/>
        </w:rPr>
        <w:t>If a participant misses two doses of Apretude in the first year of therapy no additional prior authorization to continue will be granted.</w:t>
      </w:r>
    </w:p>
    <w:p w14:paraId="0AF90336" w14:textId="77777777" w:rsidR="007147A4" w:rsidRPr="007147A4" w:rsidRDefault="007147A4" w:rsidP="001616E2">
      <w:pPr>
        <w:pStyle w:val="ListParagraph"/>
        <w:numPr>
          <w:ilvl w:val="2"/>
          <w:numId w:val="31"/>
        </w:numPr>
        <w:rPr>
          <w:rFonts w:cs="Arial"/>
          <w:b/>
          <w:color w:val="1F497D" w:themeColor="text2"/>
          <w:szCs w:val="20"/>
        </w:rPr>
      </w:pPr>
      <w:r w:rsidRPr="007147A4">
        <w:rPr>
          <w:rFonts w:cs="Arial"/>
          <w:b/>
          <w:color w:val="1F497D" w:themeColor="text2"/>
          <w:szCs w:val="20"/>
        </w:rPr>
        <w:t>If a participant misses one dose of Yeztugo (more than 28 weeks have elapsed since the last injection) no additional prior authorization to continue will be granted.</w:t>
      </w:r>
    </w:p>
    <w:p w14:paraId="0DFCF055" w14:textId="77777777" w:rsidR="007147A4" w:rsidRPr="00A92A0C" w:rsidRDefault="007147A4" w:rsidP="007147A4">
      <w:pPr>
        <w:pStyle w:val="ListParagraph"/>
        <w:numPr>
          <w:ilvl w:val="0"/>
          <w:numId w:val="16"/>
        </w:numPr>
        <w:rPr>
          <w:rFonts w:cs="Arial"/>
          <w:bCs/>
          <w:szCs w:val="20"/>
        </w:rPr>
      </w:pPr>
      <w:r w:rsidRPr="00A92A0C">
        <w:rPr>
          <w:rFonts w:cs="Arial"/>
          <w:bCs/>
          <w:szCs w:val="20"/>
        </w:rPr>
        <w:t xml:space="preserve">Participant must be tested for HIV before requesting prior authorization to continue Apretude </w:t>
      </w:r>
      <w:r w:rsidRPr="007147A4">
        <w:rPr>
          <w:rFonts w:cs="Arial"/>
          <w:b/>
          <w:color w:val="1F497D" w:themeColor="text2"/>
          <w:szCs w:val="20"/>
        </w:rPr>
        <w:t>or Yeztugo</w:t>
      </w:r>
      <w:r w:rsidRPr="00AB0512">
        <w:rPr>
          <w:rFonts w:cs="Arial"/>
          <w:b/>
          <w:color w:val="0070C0"/>
          <w:szCs w:val="20"/>
        </w:rPr>
        <w:t>. </w:t>
      </w:r>
      <w:r w:rsidRPr="00A92A0C">
        <w:rPr>
          <w:rFonts w:cs="Arial"/>
          <w:bCs/>
          <w:szCs w:val="20"/>
        </w:rPr>
        <w:t xml:space="preserve"> A positive test for HIV during PrEP treatment will result in termination of prior authorization.</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lastRenderedPageBreak/>
        <w:t>Denial Criteria</w:t>
      </w:r>
    </w:p>
    <w:p w14:paraId="09CA4D41" w14:textId="77777777" w:rsidR="007147A4" w:rsidRDefault="007147A4" w:rsidP="007147A4">
      <w:pPr>
        <w:pStyle w:val="ListParagraph"/>
        <w:numPr>
          <w:ilvl w:val="0"/>
          <w:numId w:val="17"/>
        </w:numPr>
        <w:rPr>
          <w:rFonts w:cs="Arial"/>
          <w:noProof/>
          <w:szCs w:val="20"/>
        </w:rPr>
      </w:pPr>
      <w:bookmarkStart w:id="1" w:name="_Hlk47597237"/>
      <w:r>
        <w:rPr>
          <w:rFonts w:cs="Arial"/>
          <w:noProof/>
          <w:szCs w:val="20"/>
        </w:rPr>
        <w:t>Claim will deny with presence of one of the following:</w:t>
      </w:r>
    </w:p>
    <w:p w14:paraId="31027D92" w14:textId="77777777" w:rsidR="007147A4" w:rsidRDefault="007147A4" w:rsidP="007147A4">
      <w:pPr>
        <w:pStyle w:val="ListParagraph"/>
        <w:numPr>
          <w:ilvl w:val="1"/>
          <w:numId w:val="17"/>
        </w:numPr>
        <w:rPr>
          <w:rFonts w:cs="Arial"/>
          <w:noProof/>
          <w:szCs w:val="20"/>
        </w:rPr>
      </w:pPr>
      <w:r>
        <w:rPr>
          <w:rFonts w:cs="Arial"/>
          <w:noProof/>
          <w:szCs w:val="20"/>
        </w:rPr>
        <w:t xml:space="preserve">Any approval criteria are not met; </w:t>
      </w:r>
      <w:r w:rsidRPr="009308BA">
        <w:rPr>
          <w:rFonts w:cs="Arial"/>
          <w:b/>
          <w:bCs/>
          <w:noProof/>
          <w:szCs w:val="20"/>
        </w:rPr>
        <w:t>OR</w:t>
      </w:r>
    </w:p>
    <w:p w14:paraId="47982467" w14:textId="77777777" w:rsidR="007147A4" w:rsidRDefault="007147A4" w:rsidP="007147A4">
      <w:pPr>
        <w:pStyle w:val="ListParagraph"/>
        <w:numPr>
          <w:ilvl w:val="1"/>
          <w:numId w:val="17"/>
        </w:numPr>
        <w:rPr>
          <w:rFonts w:cs="Arial"/>
          <w:noProof/>
          <w:szCs w:val="20"/>
        </w:rPr>
      </w:pPr>
      <w:r w:rsidRPr="00A11A09">
        <w:rPr>
          <w:rFonts w:cs="Arial"/>
          <w:noProof/>
          <w:szCs w:val="20"/>
        </w:rPr>
        <w:t>For Cabenuva:</w:t>
      </w:r>
    </w:p>
    <w:p w14:paraId="32B95F82" w14:textId="77777777" w:rsidR="007147A4" w:rsidRDefault="007147A4" w:rsidP="007147A4">
      <w:pPr>
        <w:pStyle w:val="ListParagraph"/>
        <w:numPr>
          <w:ilvl w:val="2"/>
          <w:numId w:val="17"/>
        </w:numPr>
        <w:ind w:left="1080"/>
        <w:rPr>
          <w:rFonts w:cs="Arial"/>
          <w:noProof/>
          <w:szCs w:val="20"/>
        </w:rPr>
      </w:pPr>
      <w:r>
        <w:rPr>
          <w:rFonts w:cs="Arial"/>
          <w:noProof/>
          <w:szCs w:val="20"/>
        </w:rPr>
        <w:t xml:space="preserve">History of prior virologic failure; </w:t>
      </w:r>
      <w:r w:rsidRPr="00AA760D">
        <w:rPr>
          <w:rFonts w:cs="Arial"/>
          <w:b/>
          <w:bCs/>
          <w:noProof/>
          <w:szCs w:val="20"/>
        </w:rPr>
        <w:t>OR</w:t>
      </w:r>
    </w:p>
    <w:p w14:paraId="0C91BAC6" w14:textId="77777777" w:rsidR="007147A4" w:rsidRDefault="007147A4" w:rsidP="007147A4">
      <w:pPr>
        <w:pStyle w:val="ListParagraph"/>
        <w:numPr>
          <w:ilvl w:val="2"/>
          <w:numId w:val="17"/>
        </w:numPr>
        <w:ind w:left="1080"/>
        <w:rPr>
          <w:rFonts w:cs="Arial"/>
          <w:noProof/>
          <w:szCs w:val="20"/>
        </w:rPr>
      </w:pPr>
      <w:r>
        <w:rPr>
          <w:rFonts w:cs="Arial"/>
          <w:noProof/>
          <w:szCs w:val="20"/>
        </w:rPr>
        <w:t>Dosage regimen is for monthly administration</w:t>
      </w:r>
      <w:bookmarkEnd w:id="1"/>
      <w:r>
        <w:rPr>
          <w:rFonts w:cs="Arial"/>
          <w:noProof/>
          <w:szCs w:val="20"/>
        </w:rPr>
        <w:t>.</w:t>
      </w:r>
    </w:p>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2"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2"/>
    <w:p w14:paraId="6413C0CF" w14:textId="530C1EC9" w:rsidR="00AE77DB" w:rsidRPr="00C02553" w:rsidRDefault="00AE77DB" w:rsidP="00343D6B">
      <w:pPr>
        <w:pStyle w:val="Heading1"/>
        <w:rPr>
          <w:lang w:val="en-US"/>
        </w:rPr>
      </w:pPr>
      <w:r w:rsidRPr="00C02553">
        <w:rPr>
          <w:lang w:val="en-US"/>
        </w:rPr>
        <w:t>References</w:t>
      </w:r>
    </w:p>
    <w:p w14:paraId="61112A37" w14:textId="77777777" w:rsidR="007147A4" w:rsidRPr="00EC3A14" w:rsidRDefault="007147A4" w:rsidP="007147A4">
      <w:pPr>
        <w:pStyle w:val="ListParagraph"/>
      </w:pPr>
      <w:bookmarkStart w:id="3" w:name="_Hlk119679242"/>
      <w:r w:rsidRPr="00EC3A14">
        <w:t xml:space="preserve">Evidence-Based Medicine and Fiscal Analysis: “Therapeutic Class Review: ANTI-INFECTIVES: Antiretroviral Therapy: Groups A, B, C”, Gainwell Technologies; Last updated </w:t>
      </w:r>
      <w:r>
        <w:t>November</w:t>
      </w:r>
      <w:r w:rsidRPr="00EC3A14">
        <w:t xml:space="preserve"> </w:t>
      </w:r>
      <w:r>
        <w:t>18</w:t>
      </w:r>
      <w:r w:rsidRPr="00EC3A14">
        <w:t>, 202</w:t>
      </w:r>
      <w:r>
        <w:t>4</w:t>
      </w:r>
      <w:r w:rsidRPr="00EC3A14">
        <w:t xml:space="preserve">. </w:t>
      </w:r>
    </w:p>
    <w:bookmarkEnd w:id="3"/>
    <w:p w14:paraId="6A8D7AA3" w14:textId="77777777" w:rsidR="007147A4" w:rsidRPr="00DC2524" w:rsidRDefault="007147A4" w:rsidP="007147A4">
      <w:pPr>
        <w:pStyle w:val="ListParagraph"/>
        <w:rPr>
          <w:rFonts w:cs="Arial"/>
          <w:sz w:val="18"/>
          <w:szCs w:val="18"/>
        </w:rPr>
      </w:pPr>
      <w:r w:rsidRPr="00EC3A14">
        <w:t xml:space="preserve">Evidence-Based Medicine Analysis: “HIV Antiretrovirals”, UMKC-DIC; </w:t>
      </w:r>
      <w:r>
        <w:t>September</w:t>
      </w:r>
      <w:r w:rsidRPr="00EC3A14">
        <w:t xml:space="preserve"> 202</w:t>
      </w:r>
      <w:r>
        <w:t>4</w:t>
      </w:r>
      <w:r w:rsidRPr="00EC3A14">
        <w:t>.</w:t>
      </w:r>
    </w:p>
    <w:p w14:paraId="539746D6" w14:textId="3518DF22" w:rsidR="00DC2524" w:rsidRPr="00EC3A14" w:rsidRDefault="00DC2524" w:rsidP="007147A4">
      <w:pPr>
        <w:pStyle w:val="ListParagraph"/>
        <w:rPr>
          <w:rStyle w:val="normaltextrun"/>
          <w:rFonts w:cs="Arial"/>
          <w:sz w:val="18"/>
          <w:szCs w:val="18"/>
        </w:rPr>
      </w:pPr>
      <w:r>
        <w:t>Evidence-Based Medicine Analysis: “Nucleo</w:t>
      </w:r>
      <w:r w:rsidR="00797CBB">
        <w:t>side Reverse Transcriptase Inhibitors (NRTIs)”, UMKC-DIC; August 2025.</w:t>
      </w:r>
    </w:p>
    <w:p w14:paraId="50A6A651" w14:textId="75EFD372" w:rsidR="007147A4" w:rsidRPr="00EC3A14" w:rsidRDefault="007147A4" w:rsidP="007147A4">
      <w:pPr>
        <w:pStyle w:val="ListParagraph"/>
        <w:rPr>
          <w:rStyle w:val="normaltextrun"/>
          <w:rFonts w:cs="Arial"/>
          <w:sz w:val="18"/>
          <w:szCs w:val="18"/>
        </w:rPr>
      </w:pPr>
      <w:r w:rsidRPr="00EC3A14">
        <w:rPr>
          <w:shd w:val="clear" w:color="auto" w:fill="FFFFFF"/>
        </w:rPr>
        <w:t xml:space="preserve">Panel on Antiretroviral Guidelines for Adults and Adolescents. Guidelines for the Use of Antiretroviral Agents in Adults and Adolescents with HIV. Department of Health and Human Services. Available at </w:t>
      </w:r>
      <w:hyperlink r:id="rId11" w:history="1">
        <w:r w:rsidRPr="00961C1D">
          <w:rPr>
            <w:rStyle w:val="Hyperlink"/>
            <w:rFonts w:cs="Arial"/>
            <w:szCs w:val="20"/>
            <w:shd w:val="clear" w:color="auto" w:fill="FFFFFF"/>
          </w:rPr>
          <w:t>https://clinicalinfo.hiv.gov/en/guidelines/adult-and-adolescent-arv</w:t>
        </w:r>
      </w:hyperlink>
      <w:r w:rsidRPr="00EC3A14">
        <w:rPr>
          <w:shd w:val="clear" w:color="auto" w:fill="FFFFFF"/>
        </w:rPr>
        <w:t>.</w:t>
      </w:r>
      <w:r>
        <w:rPr>
          <w:shd w:val="clear" w:color="auto" w:fill="FFFFFF"/>
        </w:rPr>
        <w:t xml:space="preserve"> Updated September 25, 2025.</w:t>
      </w:r>
      <w:r w:rsidRPr="00EC3A14">
        <w:rPr>
          <w:shd w:val="clear" w:color="auto" w:fill="FFFFFF"/>
        </w:rPr>
        <w:t xml:space="preserve"> </w:t>
      </w:r>
      <w:r>
        <w:rPr>
          <w:rStyle w:val="normaltextrun"/>
          <w:rFonts w:cs="Arial"/>
          <w:color w:val="000000"/>
          <w:sz w:val="18"/>
          <w:szCs w:val="18"/>
          <w:shd w:val="clear" w:color="auto" w:fill="FFFFFF"/>
        </w:rPr>
        <w:t>Accessed November 28,</w:t>
      </w:r>
      <w:r w:rsidRPr="00EC3A14">
        <w:rPr>
          <w:rStyle w:val="normaltextrun"/>
          <w:rFonts w:cs="Arial"/>
          <w:color w:val="000000"/>
          <w:sz w:val="18"/>
          <w:szCs w:val="18"/>
          <w:shd w:val="clear" w:color="auto" w:fill="FFFFFF"/>
        </w:rPr>
        <w:t xml:space="preserve"> 202</w:t>
      </w:r>
      <w:r>
        <w:rPr>
          <w:rStyle w:val="normaltextrun"/>
          <w:rFonts w:cs="Arial"/>
          <w:color w:val="000000"/>
          <w:sz w:val="18"/>
          <w:szCs w:val="18"/>
          <w:shd w:val="clear" w:color="auto" w:fill="FFFFFF"/>
        </w:rPr>
        <w:t>5</w:t>
      </w:r>
      <w:r w:rsidRPr="00EC3A14">
        <w:rPr>
          <w:rStyle w:val="normaltextrun"/>
          <w:rFonts w:cs="Arial"/>
          <w:color w:val="000000"/>
          <w:sz w:val="18"/>
          <w:szCs w:val="18"/>
          <w:shd w:val="clear" w:color="auto" w:fill="FFFFFF"/>
        </w:rPr>
        <w:t xml:space="preserve">. </w:t>
      </w:r>
    </w:p>
    <w:p w14:paraId="244748DE" w14:textId="77777777" w:rsidR="007147A4" w:rsidRPr="00EC3A14" w:rsidRDefault="007147A4" w:rsidP="007147A4">
      <w:pPr>
        <w:pStyle w:val="ListParagraph"/>
        <w:rPr>
          <w:rStyle w:val="normaltextrun"/>
          <w:rFonts w:cs="Arial"/>
          <w:sz w:val="18"/>
          <w:szCs w:val="18"/>
          <w:shd w:val="clear" w:color="auto" w:fill="FFFFFF"/>
        </w:rPr>
      </w:pPr>
      <w:r w:rsidRPr="00EC3A14">
        <w:rPr>
          <w:rStyle w:val="normaltextrun"/>
          <w:rFonts w:cs="Arial"/>
          <w:sz w:val="18"/>
          <w:szCs w:val="18"/>
          <w:shd w:val="clear" w:color="auto" w:fill="FFFFFF"/>
        </w:rPr>
        <w:t>IPD Analytics.  Rx Insights: Infectious Disease.  HIV – Update on Treatment Management.  November 2019.</w:t>
      </w:r>
    </w:p>
    <w:p w14:paraId="5DC34583" w14:textId="1AC531BC" w:rsidR="007147A4" w:rsidRDefault="007147A4" w:rsidP="007147A4">
      <w:pPr>
        <w:pStyle w:val="ListParagraph"/>
      </w:pPr>
      <w:r w:rsidRPr="00032310">
        <w:t xml:space="preserve">Centers for Disease Control and Prevention. CDC Publishes New HIV Surveillance Reports. CDC. Published </w:t>
      </w:r>
      <w:r>
        <w:t>May</w:t>
      </w:r>
      <w:r w:rsidRPr="00032310">
        <w:t xml:space="preserve"> </w:t>
      </w:r>
      <w:r>
        <w:t>21</w:t>
      </w:r>
      <w:r w:rsidRPr="00032310">
        <w:t xml:space="preserve">, 2024. Accessed </w:t>
      </w:r>
      <w:r w:rsidR="00EE3A48">
        <w:rPr>
          <w:rStyle w:val="normaltextrun"/>
          <w:rFonts w:cs="Arial"/>
          <w:color w:val="000000"/>
          <w:sz w:val="18"/>
          <w:szCs w:val="18"/>
          <w:shd w:val="clear" w:color="auto" w:fill="FFFFFF"/>
        </w:rPr>
        <w:t>November 28,</w:t>
      </w:r>
      <w:r w:rsidR="00EE3A48" w:rsidRPr="00EC3A14">
        <w:rPr>
          <w:rStyle w:val="normaltextrun"/>
          <w:rFonts w:cs="Arial"/>
          <w:color w:val="000000"/>
          <w:sz w:val="18"/>
          <w:szCs w:val="18"/>
          <w:shd w:val="clear" w:color="auto" w:fill="FFFFFF"/>
        </w:rPr>
        <w:t xml:space="preserve"> 202</w:t>
      </w:r>
      <w:r w:rsidR="00EE3A48">
        <w:rPr>
          <w:rStyle w:val="normaltextrun"/>
          <w:rFonts w:cs="Arial"/>
          <w:color w:val="000000"/>
          <w:sz w:val="18"/>
          <w:szCs w:val="18"/>
          <w:shd w:val="clear" w:color="auto" w:fill="FFFFFF"/>
        </w:rPr>
        <w:t>5</w:t>
      </w:r>
      <w:r w:rsidRPr="00032310">
        <w:t>.</w:t>
      </w:r>
      <w:r w:rsidRPr="004F3004">
        <w:t xml:space="preserve"> </w:t>
      </w:r>
      <w:hyperlink r:id="rId12" w:history="1">
        <w:r w:rsidRPr="00E541FE">
          <w:rPr>
            <w:rStyle w:val="Hyperlink"/>
            <w:sz w:val="18"/>
            <w:szCs w:val="18"/>
          </w:rPr>
          <w:t>https://www.cdc.gov/nchhstp/director-letters/cdc-publishes-new-hiv-surveillance-reports.html</w:t>
        </w:r>
      </w:hyperlink>
      <w:r>
        <w:t>.</w:t>
      </w:r>
    </w:p>
    <w:p w14:paraId="274E9CC4" w14:textId="1F5AA148" w:rsidR="007147A4" w:rsidRDefault="007147A4" w:rsidP="007147A4">
      <w:pPr>
        <w:pStyle w:val="ListParagraph"/>
      </w:pPr>
      <w:r w:rsidRPr="00EC3A14">
        <w:t>Gilroy</w:t>
      </w:r>
      <w:r>
        <w:t xml:space="preserve"> SA, Faragon JJ, Bronze MS</w:t>
      </w:r>
      <w:r w:rsidRPr="00EC3A14">
        <w:t>. HIV Infection and AIDS. Medscape.</w:t>
      </w:r>
      <w:r>
        <w:t xml:space="preserve"> Updated January 3, 2025. Accessed </w:t>
      </w:r>
      <w:r>
        <w:rPr>
          <w:rStyle w:val="normaltextrun"/>
          <w:rFonts w:cs="Arial"/>
          <w:color w:val="000000"/>
          <w:sz w:val="18"/>
          <w:szCs w:val="18"/>
          <w:shd w:val="clear" w:color="auto" w:fill="FFFFFF"/>
        </w:rPr>
        <w:t>November 28,</w:t>
      </w:r>
      <w:r w:rsidRPr="00EC3A14">
        <w:rPr>
          <w:rStyle w:val="normaltextrun"/>
          <w:rFonts w:cs="Arial"/>
          <w:color w:val="000000"/>
          <w:sz w:val="18"/>
          <w:szCs w:val="18"/>
          <w:shd w:val="clear" w:color="auto" w:fill="FFFFFF"/>
        </w:rPr>
        <w:t xml:space="preserve"> 202</w:t>
      </w:r>
      <w:r>
        <w:rPr>
          <w:rStyle w:val="normaltextrun"/>
          <w:rFonts w:cs="Arial"/>
          <w:color w:val="000000"/>
          <w:sz w:val="18"/>
          <w:szCs w:val="18"/>
          <w:shd w:val="clear" w:color="auto" w:fill="FFFFFF"/>
        </w:rPr>
        <w:t>5</w:t>
      </w:r>
      <w:r>
        <w:t xml:space="preserve">. </w:t>
      </w:r>
      <w:hyperlink r:id="rId13" w:history="1">
        <w:r w:rsidRPr="00E541FE">
          <w:rPr>
            <w:rStyle w:val="Hyperlink"/>
            <w:rFonts w:cs="Arial"/>
            <w:sz w:val="18"/>
            <w:szCs w:val="18"/>
          </w:rPr>
          <w:t>https://emedicine.medscape.com/article/211316-overview</w:t>
        </w:r>
      </w:hyperlink>
      <w:r w:rsidRPr="00EC3A14">
        <w:t xml:space="preserve">. </w:t>
      </w:r>
    </w:p>
    <w:p w14:paraId="0DE0CD71" w14:textId="52DD5DF4" w:rsidR="007147A4" w:rsidRDefault="005414B7" w:rsidP="007147A4">
      <w:pPr>
        <w:pStyle w:val="ListParagraph"/>
      </w:pPr>
      <w:r w:rsidRPr="005414B7">
        <w:t xml:space="preserve">Gandhi RT, Landovitz RJ, </w:t>
      </w:r>
      <w:r>
        <w:t>et al</w:t>
      </w:r>
      <w:r w:rsidRPr="005414B7">
        <w:t>. Antiretroviral Drugs for Treatment and Prevention of HIV in Adults: 2024 Recommendations of the International Antiviral Society-USA Panel. JAMA. 2025 Feb 18;333(7):609-628. doi: 10.1001/jama.2024.24543. PMID: 39616604.</w:t>
      </w:r>
    </w:p>
    <w:p w14:paraId="04363169" w14:textId="4D1D8997" w:rsidR="007147A4" w:rsidRDefault="007147A4" w:rsidP="007147A4">
      <w:pPr>
        <w:pStyle w:val="ListParagraph"/>
      </w:pPr>
      <w:r w:rsidRPr="00845131">
        <w:t>Quinn TC</w:t>
      </w:r>
      <w:r>
        <w:t>, Bartlett JA, Bogorodskaya M</w:t>
      </w:r>
      <w:r w:rsidRPr="00845131">
        <w:t xml:space="preserve">. Global Epidemiology of HIV Infection. UpToDate. Updated June 14, 2024. Accessed </w:t>
      </w:r>
      <w:r w:rsidR="00EE3A48">
        <w:rPr>
          <w:rStyle w:val="normaltextrun"/>
          <w:rFonts w:cs="Arial"/>
          <w:color w:val="000000"/>
          <w:sz w:val="18"/>
          <w:szCs w:val="18"/>
          <w:shd w:val="clear" w:color="auto" w:fill="FFFFFF"/>
        </w:rPr>
        <w:t>November 28,</w:t>
      </w:r>
      <w:r w:rsidR="00EE3A48" w:rsidRPr="00EC3A14">
        <w:rPr>
          <w:rStyle w:val="normaltextrun"/>
          <w:rFonts w:cs="Arial"/>
          <w:color w:val="000000"/>
          <w:sz w:val="18"/>
          <w:szCs w:val="18"/>
          <w:shd w:val="clear" w:color="auto" w:fill="FFFFFF"/>
        </w:rPr>
        <w:t xml:space="preserve"> 202</w:t>
      </w:r>
      <w:r w:rsidR="00EE3A48">
        <w:rPr>
          <w:rStyle w:val="normaltextrun"/>
          <w:rFonts w:cs="Arial"/>
          <w:color w:val="000000"/>
          <w:sz w:val="18"/>
          <w:szCs w:val="18"/>
          <w:shd w:val="clear" w:color="auto" w:fill="FFFFFF"/>
        </w:rPr>
        <w:t>5</w:t>
      </w:r>
      <w:r w:rsidRPr="00845131">
        <w:t xml:space="preserve">. </w:t>
      </w:r>
    </w:p>
    <w:p w14:paraId="3FA1E7DB" w14:textId="1E892523" w:rsidR="00777CA4" w:rsidRDefault="007147A4" w:rsidP="007147A4">
      <w:pPr>
        <w:pStyle w:val="ListParagraph"/>
      </w:pPr>
      <w:r w:rsidRPr="00723C0C">
        <w:t xml:space="preserve">Wood BR, Sax PE, Mitty J. Screening and Diagnostic Testing for HIV Infection in Adults. UpToDate. Updated </w:t>
      </w:r>
      <w:r w:rsidR="005414B7">
        <w:t>November 24, 2025</w:t>
      </w:r>
      <w:r w:rsidRPr="00723C0C">
        <w:t xml:space="preserve">. Accessed </w:t>
      </w:r>
      <w:r w:rsidR="00EE3A48">
        <w:rPr>
          <w:rStyle w:val="normaltextrun"/>
          <w:rFonts w:cs="Arial"/>
          <w:color w:val="000000"/>
          <w:sz w:val="18"/>
          <w:szCs w:val="18"/>
          <w:shd w:val="clear" w:color="auto" w:fill="FFFFFF"/>
        </w:rPr>
        <w:t>November 28,</w:t>
      </w:r>
      <w:r w:rsidR="00EE3A48" w:rsidRPr="00EC3A14">
        <w:rPr>
          <w:rStyle w:val="normaltextrun"/>
          <w:rFonts w:cs="Arial"/>
          <w:color w:val="000000"/>
          <w:sz w:val="18"/>
          <w:szCs w:val="18"/>
          <w:shd w:val="clear" w:color="auto" w:fill="FFFFFF"/>
        </w:rPr>
        <w:t xml:space="preserve"> 202</w:t>
      </w:r>
      <w:r w:rsidR="00EE3A48">
        <w:rPr>
          <w:rStyle w:val="normaltextrun"/>
          <w:rFonts w:cs="Arial"/>
          <w:color w:val="000000"/>
          <w:sz w:val="18"/>
          <w:szCs w:val="18"/>
          <w:shd w:val="clear" w:color="auto" w:fill="FFFFFF"/>
        </w:rPr>
        <w:t>5</w:t>
      </w:r>
      <w:r w:rsidR="00777CA4">
        <w:t>.</w:t>
      </w:r>
    </w:p>
    <w:sectPr w:rsidR="00777CA4" w:rsidSect="00AB0B9F">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5E58F" w14:textId="77777777" w:rsidR="00D9012C" w:rsidRPr="00C02553" w:rsidRDefault="00D9012C" w:rsidP="00AE77DB">
      <w:r w:rsidRPr="00C02553">
        <w:separator/>
      </w:r>
    </w:p>
  </w:endnote>
  <w:endnote w:type="continuationSeparator" w:id="0">
    <w:p w14:paraId="30486CAC" w14:textId="77777777" w:rsidR="00D9012C" w:rsidRPr="00C02553" w:rsidRDefault="00D9012C" w:rsidP="00AE77DB">
      <w:r w:rsidRPr="00C02553">
        <w:continuationSeparator/>
      </w:r>
    </w:p>
  </w:endnote>
  <w:endnote w:type="continuationNotice" w:id="1">
    <w:p w14:paraId="261BA91D" w14:textId="77777777" w:rsidR="00D9012C" w:rsidRPr="00C02553" w:rsidRDefault="00D901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r w:rsidRPr="00C02553">
      <w:rPr>
        <w:rFonts w:cs="Arial"/>
        <w:sz w:val="16"/>
        <w:szCs w:val="16"/>
      </w:rPr>
      <w:t xml:space="preserve">SmartPA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r w:rsidRPr="00C02553">
      <w:rPr>
        <w:rFonts w:cs="Arial"/>
        <w:sz w:val="16"/>
        <w:szCs w:val="16"/>
      </w:rPr>
      <w:t>SmartPA</w:t>
    </w:r>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5F853" w14:textId="77777777" w:rsidR="00D9012C" w:rsidRPr="00C02553" w:rsidRDefault="00D9012C" w:rsidP="00AE77DB">
      <w:r w:rsidRPr="00C02553">
        <w:separator/>
      </w:r>
    </w:p>
  </w:footnote>
  <w:footnote w:type="continuationSeparator" w:id="0">
    <w:p w14:paraId="38B419C8" w14:textId="77777777" w:rsidR="00D9012C" w:rsidRPr="00C02553" w:rsidRDefault="00D9012C" w:rsidP="00AE77DB">
      <w:r w:rsidRPr="00C02553">
        <w:continuationSeparator/>
      </w:r>
    </w:p>
  </w:footnote>
  <w:footnote w:type="continuationNotice" w:id="1">
    <w:p w14:paraId="75E9699A" w14:textId="77777777" w:rsidR="00D9012C" w:rsidRPr="00C02553" w:rsidRDefault="00D901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C16C08">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C16C08">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66432"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C16C08">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29E141C"/>
    <w:multiLevelType w:val="multilevel"/>
    <w:tmpl w:val="5ABA0A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8D40C3"/>
    <w:multiLevelType w:val="multilevel"/>
    <w:tmpl w:val="E1A2A51C"/>
    <w:numStyleLink w:val="References"/>
  </w:abstractNum>
  <w:abstractNum w:abstractNumId="6" w15:restartNumberingAfterBreak="0">
    <w:nsid w:val="089F7A2A"/>
    <w:multiLevelType w:val="hybridMultilevel"/>
    <w:tmpl w:val="1C4AA5B4"/>
    <w:lvl w:ilvl="0" w:tplc="9AA2B2EA">
      <w:start w:val="1"/>
      <w:numFmt w:val="bullet"/>
      <w:lvlText w:val="̵"/>
      <w:lvlJc w:val="left"/>
      <w:pPr>
        <w:ind w:left="1890" w:hanging="360"/>
      </w:pPr>
      <w:rPr>
        <w:rFonts w:ascii="Calibri" w:hAnsi="Calibri" w:cs="Times New Roman" w:hint="default"/>
        <w:color w:val="00961D"/>
      </w:rPr>
    </w:lvl>
    <w:lvl w:ilvl="1" w:tplc="FFFFFFFF">
      <w:start w:val="1"/>
      <w:numFmt w:val="bullet"/>
      <w:lvlText w:val="o"/>
      <w:lvlJc w:val="left"/>
      <w:pPr>
        <w:ind w:left="2610" w:hanging="360"/>
      </w:pPr>
      <w:rPr>
        <w:rFonts w:ascii="Courier New" w:hAnsi="Courier New" w:cs="Courier New" w:hint="default"/>
      </w:rPr>
    </w:lvl>
    <w:lvl w:ilvl="2" w:tplc="FFFFFFFF">
      <w:start w:val="1"/>
      <w:numFmt w:val="bullet"/>
      <w:lvlText w:val=""/>
      <w:lvlJc w:val="left"/>
      <w:pPr>
        <w:ind w:left="3330" w:hanging="360"/>
      </w:pPr>
      <w:rPr>
        <w:rFonts w:ascii="Wingdings" w:hAnsi="Wingdings" w:hint="default"/>
      </w:rPr>
    </w:lvl>
    <w:lvl w:ilvl="3" w:tplc="FFFFFFFF">
      <w:start w:val="1"/>
      <w:numFmt w:val="bullet"/>
      <w:lvlText w:val=""/>
      <w:lvlJc w:val="left"/>
      <w:pPr>
        <w:ind w:left="4050" w:hanging="360"/>
      </w:pPr>
      <w:rPr>
        <w:rFonts w:ascii="Symbol" w:hAnsi="Symbol" w:hint="default"/>
      </w:rPr>
    </w:lvl>
    <w:lvl w:ilvl="4" w:tplc="FFFFFFFF">
      <w:start w:val="1"/>
      <w:numFmt w:val="bullet"/>
      <w:lvlText w:val="o"/>
      <w:lvlJc w:val="left"/>
      <w:pPr>
        <w:ind w:left="4770" w:hanging="360"/>
      </w:pPr>
      <w:rPr>
        <w:rFonts w:ascii="Courier New" w:hAnsi="Courier New" w:cs="Courier New" w:hint="default"/>
      </w:rPr>
    </w:lvl>
    <w:lvl w:ilvl="5" w:tplc="FFFFFFFF">
      <w:start w:val="1"/>
      <w:numFmt w:val="bullet"/>
      <w:lvlText w:val=""/>
      <w:lvlJc w:val="left"/>
      <w:pPr>
        <w:ind w:left="5490" w:hanging="360"/>
      </w:pPr>
      <w:rPr>
        <w:rFonts w:ascii="Wingdings" w:hAnsi="Wingdings" w:hint="default"/>
      </w:rPr>
    </w:lvl>
    <w:lvl w:ilvl="6" w:tplc="FFFFFFFF">
      <w:start w:val="1"/>
      <w:numFmt w:val="bullet"/>
      <w:lvlText w:val=""/>
      <w:lvlJc w:val="left"/>
      <w:pPr>
        <w:ind w:left="6210" w:hanging="360"/>
      </w:pPr>
      <w:rPr>
        <w:rFonts w:ascii="Symbol" w:hAnsi="Symbol" w:hint="default"/>
      </w:rPr>
    </w:lvl>
    <w:lvl w:ilvl="7" w:tplc="FFFFFFFF">
      <w:start w:val="1"/>
      <w:numFmt w:val="bullet"/>
      <w:lvlText w:val="o"/>
      <w:lvlJc w:val="left"/>
      <w:pPr>
        <w:ind w:left="6930" w:hanging="360"/>
      </w:pPr>
      <w:rPr>
        <w:rFonts w:ascii="Courier New" w:hAnsi="Courier New" w:cs="Courier New" w:hint="default"/>
      </w:rPr>
    </w:lvl>
    <w:lvl w:ilvl="8" w:tplc="FFFFFFFF">
      <w:start w:val="1"/>
      <w:numFmt w:val="bullet"/>
      <w:lvlText w:val=""/>
      <w:lvlJc w:val="left"/>
      <w:pPr>
        <w:ind w:left="7650" w:hanging="360"/>
      </w:pPr>
      <w:rPr>
        <w:rFonts w:ascii="Wingdings" w:hAnsi="Wingdings" w:hint="default"/>
      </w:rPr>
    </w:lvl>
  </w:abstractNum>
  <w:abstractNum w:abstractNumId="7"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F45EE8"/>
    <w:multiLevelType w:val="hybridMultilevel"/>
    <w:tmpl w:val="588A19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DA528F"/>
    <w:multiLevelType w:val="hybridMultilevel"/>
    <w:tmpl w:val="64D490C0"/>
    <w:lvl w:ilvl="0" w:tplc="A83C8E36">
      <w:start w:val="1"/>
      <w:numFmt w:val="bullet"/>
      <w:pStyle w:val="GWBullets3"/>
      <w:lvlText w:val=""/>
      <w:lvlJc w:val="left"/>
      <w:pPr>
        <w:ind w:left="1890" w:hanging="360"/>
      </w:pPr>
      <w:rPr>
        <w:rFonts w:ascii="Wingdings" w:hAnsi="Wingdings" w:hint="default"/>
        <w:color w:val="00961D"/>
      </w:rPr>
    </w:lvl>
    <w:lvl w:ilvl="1" w:tplc="FFFFFFFF">
      <w:start w:val="1"/>
      <w:numFmt w:val="bullet"/>
      <w:lvlText w:val="o"/>
      <w:lvlJc w:val="left"/>
      <w:pPr>
        <w:ind w:left="2610" w:hanging="360"/>
      </w:pPr>
      <w:rPr>
        <w:rFonts w:ascii="Courier New" w:hAnsi="Courier New" w:cs="Courier New" w:hint="default"/>
      </w:rPr>
    </w:lvl>
    <w:lvl w:ilvl="2" w:tplc="FFFFFFFF">
      <w:start w:val="1"/>
      <w:numFmt w:val="bullet"/>
      <w:lvlText w:val=""/>
      <w:lvlJc w:val="left"/>
      <w:pPr>
        <w:ind w:left="3330" w:hanging="360"/>
      </w:pPr>
      <w:rPr>
        <w:rFonts w:ascii="Wingdings" w:hAnsi="Wingdings" w:hint="default"/>
      </w:rPr>
    </w:lvl>
    <w:lvl w:ilvl="3" w:tplc="FFFFFFFF">
      <w:start w:val="1"/>
      <w:numFmt w:val="bullet"/>
      <w:lvlText w:val=""/>
      <w:lvlJc w:val="left"/>
      <w:pPr>
        <w:ind w:left="4050" w:hanging="360"/>
      </w:pPr>
      <w:rPr>
        <w:rFonts w:ascii="Symbol" w:hAnsi="Symbol" w:hint="default"/>
      </w:rPr>
    </w:lvl>
    <w:lvl w:ilvl="4" w:tplc="FFFFFFFF">
      <w:start w:val="1"/>
      <w:numFmt w:val="bullet"/>
      <w:lvlText w:val="o"/>
      <w:lvlJc w:val="left"/>
      <w:pPr>
        <w:ind w:left="4770" w:hanging="360"/>
      </w:pPr>
      <w:rPr>
        <w:rFonts w:ascii="Courier New" w:hAnsi="Courier New" w:cs="Courier New" w:hint="default"/>
      </w:rPr>
    </w:lvl>
    <w:lvl w:ilvl="5" w:tplc="FFFFFFFF">
      <w:start w:val="1"/>
      <w:numFmt w:val="bullet"/>
      <w:lvlText w:val=""/>
      <w:lvlJc w:val="left"/>
      <w:pPr>
        <w:ind w:left="5490" w:hanging="360"/>
      </w:pPr>
      <w:rPr>
        <w:rFonts w:ascii="Wingdings" w:hAnsi="Wingdings" w:hint="default"/>
      </w:rPr>
    </w:lvl>
    <w:lvl w:ilvl="6" w:tplc="FFFFFFFF">
      <w:start w:val="1"/>
      <w:numFmt w:val="bullet"/>
      <w:lvlText w:val=""/>
      <w:lvlJc w:val="left"/>
      <w:pPr>
        <w:ind w:left="6210" w:hanging="360"/>
      </w:pPr>
      <w:rPr>
        <w:rFonts w:ascii="Symbol" w:hAnsi="Symbol" w:hint="default"/>
      </w:rPr>
    </w:lvl>
    <w:lvl w:ilvl="7" w:tplc="FFFFFFFF">
      <w:start w:val="1"/>
      <w:numFmt w:val="bullet"/>
      <w:lvlText w:val="o"/>
      <w:lvlJc w:val="left"/>
      <w:pPr>
        <w:ind w:left="6930" w:hanging="360"/>
      </w:pPr>
      <w:rPr>
        <w:rFonts w:ascii="Courier New" w:hAnsi="Courier New" w:cs="Courier New" w:hint="default"/>
      </w:rPr>
    </w:lvl>
    <w:lvl w:ilvl="8" w:tplc="FFFFFFFF">
      <w:start w:val="1"/>
      <w:numFmt w:val="bullet"/>
      <w:lvlText w:val=""/>
      <w:lvlJc w:val="left"/>
      <w:pPr>
        <w:ind w:left="7650" w:hanging="360"/>
      </w:pPr>
      <w:rPr>
        <w:rFonts w:ascii="Wingdings" w:hAnsi="Wingdings" w:hint="default"/>
      </w:rPr>
    </w:lvl>
  </w:abstractNum>
  <w:abstractNum w:abstractNumId="13" w15:restartNumberingAfterBreak="0">
    <w:nsid w:val="3CEF56B7"/>
    <w:multiLevelType w:val="multilevel"/>
    <w:tmpl w:val="FF446A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AB37B0"/>
    <w:multiLevelType w:val="hybridMultilevel"/>
    <w:tmpl w:val="EF40FD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6A677FA"/>
    <w:multiLevelType w:val="multilevel"/>
    <w:tmpl w:val="0B68DE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E26A80"/>
    <w:multiLevelType w:val="hybridMultilevel"/>
    <w:tmpl w:val="069AA984"/>
    <w:lvl w:ilvl="0" w:tplc="FFFFFFFF">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57D310A1"/>
    <w:multiLevelType w:val="hybridMultilevel"/>
    <w:tmpl w:val="80C80EFE"/>
    <w:lvl w:ilvl="0" w:tplc="7582913C">
      <w:numFmt w:val="bullet"/>
      <w:lvlText w:val=""/>
      <w:lvlJc w:val="left"/>
      <w:pPr>
        <w:ind w:left="360" w:hanging="360"/>
      </w:pPr>
      <w:rPr>
        <w:rFonts w:ascii="Symbol" w:eastAsia="Times New Roman" w:hAnsi="Symbol"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99C786C"/>
    <w:multiLevelType w:val="hybridMultilevel"/>
    <w:tmpl w:val="352C53E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A9B2B26"/>
    <w:multiLevelType w:val="hybridMultilevel"/>
    <w:tmpl w:val="FE1650E0"/>
    <w:lvl w:ilvl="0" w:tplc="FFFFFFFF">
      <w:start w:val="1"/>
      <w:numFmt w:val="bullet"/>
      <w:lvlText w:val=""/>
      <w:lvlJc w:val="left"/>
      <w:pPr>
        <w:ind w:left="108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B30619E"/>
    <w:multiLevelType w:val="hybridMultilevel"/>
    <w:tmpl w:val="6734B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C5A7588"/>
    <w:multiLevelType w:val="hybridMultilevel"/>
    <w:tmpl w:val="773CB67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4064CF6"/>
    <w:multiLevelType w:val="hybridMultilevel"/>
    <w:tmpl w:val="CED692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27"/>
  </w:num>
  <w:num w:numId="3" w16cid:durableId="1729067566">
    <w:abstractNumId w:val="5"/>
  </w:num>
  <w:num w:numId="4" w16cid:durableId="320159068">
    <w:abstractNumId w:val="10"/>
  </w:num>
  <w:num w:numId="5" w16cid:durableId="1769498754">
    <w:abstractNumId w:val="3"/>
  </w:num>
  <w:num w:numId="6" w16cid:durableId="1094596320">
    <w:abstractNumId w:val="22"/>
  </w:num>
  <w:num w:numId="7" w16cid:durableId="2110008555">
    <w:abstractNumId w:val="2"/>
  </w:num>
  <w:num w:numId="8" w16cid:durableId="489712751">
    <w:abstractNumId w:val="8"/>
  </w:num>
  <w:num w:numId="9" w16cid:durableId="1085147965">
    <w:abstractNumId w:val="14"/>
  </w:num>
  <w:num w:numId="10" w16cid:durableId="917518096">
    <w:abstractNumId w:val="11"/>
  </w:num>
  <w:num w:numId="11" w16cid:durableId="1894998475">
    <w:abstractNumId w:val="1"/>
  </w:num>
  <w:num w:numId="12" w16cid:durableId="1418215296">
    <w:abstractNumId w:val="23"/>
  </w:num>
  <w:num w:numId="13" w16cid:durableId="604729665">
    <w:abstractNumId w:val="7"/>
  </w:num>
  <w:num w:numId="14" w16cid:durableId="1805081292">
    <w:abstractNumId w:val="15"/>
  </w:num>
  <w:num w:numId="15" w16cid:durableId="1444307928">
    <w:abstractNumId w:val="16"/>
  </w:num>
  <w:num w:numId="16" w16cid:durableId="703796707">
    <w:abstractNumId w:val="20"/>
  </w:num>
  <w:num w:numId="17" w16cid:durableId="1935622813">
    <w:abstractNumId w:val="26"/>
  </w:num>
  <w:num w:numId="18" w16cid:durableId="1516118323">
    <w:abstractNumId w:val="24"/>
  </w:num>
  <w:num w:numId="19" w16cid:durableId="2106000895">
    <w:abstractNumId w:val="19"/>
  </w:num>
  <w:num w:numId="20" w16cid:durableId="1069814571">
    <w:abstractNumId w:val="22"/>
  </w:num>
  <w:num w:numId="21" w16cid:durableId="129592192">
    <w:abstractNumId w:val="13"/>
  </w:num>
  <w:num w:numId="22" w16cid:durableId="580021503">
    <w:abstractNumId w:val="17"/>
  </w:num>
  <w:num w:numId="23" w16cid:durableId="1454833857">
    <w:abstractNumId w:val="4"/>
  </w:num>
  <w:num w:numId="24" w16cid:durableId="154996563">
    <w:abstractNumId w:val="12"/>
  </w:num>
  <w:num w:numId="25" w16cid:durableId="2126654377">
    <w:abstractNumId w:val="6"/>
  </w:num>
  <w:num w:numId="26" w16cid:durableId="1433355465">
    <w:abstractNumId w:val="9"/>
  </w:num>
  <w:num w:numId="27" w16cid:durableId="1076171128">
    <w:abstractNumId w:val="25"/>
  </w:num>
  <w:num w:numId="28" w16cid:durableId="1984046155">
    <w:abstractNumId w:val="18"/>
  </w:num>
  <w:num w:numId="29" w16cid:durableId="1887789110">
    <w:abstractNumId w:val="22"/>
  </w:num>
  <w:num w:numId="30" w16cid:durableId="1006329460">
    <w:abstractNumId w:val="19"/>
  </w:num>
  <w:num w:numId="31" w16cid:durableId="8459745">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36A7"/>
    <w:rsid w:val="000276D9"/>
    <w:rsid w:val="000344C5"/>
    <w:rsid w:val="00040AD3"/>
    <w:rsid w:val="00053807"/>
    <w:rsid w:val="000572E5"/>
    <w:rsid w:val="00057F84"/>
    <w:rsid w:val="00061541"/>
    <w:rsid w:val="00064162"/>
    <w:rsid w:val="00065C22"/>
    <w:rsid w:val="00074464"/>
    <w:rsid w:val="00076030"/>
    <w:rsid w:val="00082590"/>
    <w:rsid w:val="000913C3"/>
    <w:rsid w:val="000953B9"/>
    <w:rsid w:val="000A413B"/>
    <w:rsid w:val="000A6279"/>
    <w:rsid w:val="000B0F78"/>
    <w:rsid w:val="000B496B"/>
    <w:rsid w:val="000C0EA3"/>
    <w:rsid w:val="000C3940"/>
    <w:rsid w:val="000C5992"/>
    <w:rsid w:val="000E1479"/>
    <w:rsid w:val="000E231E"/>
    <w:rsid w:val="000E247D"/>
    <w:rsid w:val="000E6B14"/>
    <w:rsid w:val="000E70D8"/>
    <w:rsid w:val="000F196D"/>
    <w:rsid w:val="000F2A48"/>
    <w:rsid w:val="00105609"/>
    <w:rsid w:val="001062F6"/>
    <w:rsid w:val="00112FC7"/>
    <w:rsid w:val="00125F5F"/>
    <w:rsid w:val="00126951"/>
    <w:rsid w:val="00126B60"/>
    <w:rsid w:val="00127EF6"/>
    <w:rsid w:val="001310AD"/>
    <w:rsid w:val="001314A5"/>
    <w:rsid w:val="00132C7F"/>
    <w:rsid w:val="00144DBE"/>
    <w:rsid w:val="00152C8B"/>
    <w:rsid w:val="0015636A"/>
    <w:rsid w:val="001616E2"/>
    <w:rsid w:val="00172053"/>
    <w:rsid w:val="00173911"/>
    <w:rsid w:val="00177A80"/>
    <w:rsid w:val="001868FA"/>
    <w:rsid w:val="0018717A"/>
    <w:rsid w:val="00192984"/>
    <w:rsid w:val="00192A62"/>
    <w:rsid w:val="001A50CB"/>
    <w:rsid w:val="001A74B7"/>
    <w:rsid w:val="001B2D47"/>
    <w:rsid w:val="001C0250"/>
    <w:rsid w:val="001C26BE"/>
    <w:rsid w:val="001C6DA4"/>
    <w:rsid w:val="001C73B1"/>
    <w:rsid w:val="001D1437"/>
    <w:rsid w:val="001D1E7D"/>
    <w:rsid w:val="001D6567"/>
    <w:rsid w:val="001E2CCB"/>
    <w:rsid w:val="001E4CBA"/>
    <w:rsid w:val="001E523C"/>
    <w:rsid w:val="001E61DF"/>
    <w:rsid w:val="001F07C9"/>
    <w:rsid w:val="001F2B9F"/>
    <w:rsid w:val="001F5954"/>
    <w:rsid w:val="00202DD3"/>
    <w:rsid w:val="00206E7D"/>
    <w:rsid w:val="0021264D"/>
    <w:rsid w:val="00217E14"/>
    <w:rsid w:val="00217EFD"/>
    <w:rsid w:val="00222134"/>
    <w:rsid w:val="0022233F"/>
    <w:rsid w:val="00226275"/>
    <w:rsid w:val="00226824"/>
    <w:rsid w:val="00227C2B"/>
    <w:rsid w:val="0024286E"/>
    <w:rsid w:val="00246564"/>
    <w:rsid w:val="00246A3B"/>
    <w:rsid w:val="00251B39"/>
    <w:rsid w:val="00255404"/>
    <w:rsid w:val="0025594F"/>
    <w:rsid w:val="00262CEB"/>
    <w:rsid w:val="00270C5E"/>
    <w:rsid w:val="00270D8F"/>
    <w:rsid w:val="00273849"/>
    <w:rsid w:val="00285392"/>
    <w:rsid w:val="002900EC"/>
    <w:rsid w:val="00290A03"/>
    <w:rsid w:val="0029159A"/>
    <w:rsid w:val="00291600"/>
    <w:rsid w:val="00297415"/>
    <w:rsid w:val="002977FB"/>
    <w:rsid w:val="002A02F4"/>
    <w:rsid w:val="002A7BA8"/>
    <w:rsid w:val="002C2C41"/>
    <w:rsid w:val="002C2EBC"/>
    <w:rsid w:val="002C62E7"/>
    <w:rsid w:val="002E05E2"/>
    <w:rsid w:val="002E2DD6"/>
    <w:rsid w:val="002E3F28"/>
    <w:rsid w:val="002E40EE"/>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056E"/>
    <w:rsid w:val="003355AC"/>
    <w:rsid w:val="00343D6B"/>
    <w:rsid w:val="00347FB5"/>
    <w:rsid w:val="00355515"/>
    <w:rsid w:val="003608B5"/>
    <w:rsid w:val="003613AF"/>
    <w:rsid w:val="00373396"/>
    <w:rsid w:val="003878C1"/>
    <w:rsid w:val="00392C45"/>
    <w:rsid w:val="00396C0B"/>
    <w:rsid w:val="003A56E5"/>
    <w:rsid w:val="003A630F"/>
    <w:rsid w:val="003B3958"/>
    <w:rsid w:val="003B4820"/>
    <w:rsid w:val="003B5F4B"/>
    <w:rsid w:val="003B682F"/>
    <w:rsid w:val="003C53FC"/>
    <w:rsid w:val="003C7013"/>
    <w:rsid w:val="003D641B"/>
    <w:rsid w:val="003E58F3"/>
    <w:rsid w:val="003F227C"/>
    <w:rsid w:val="003F604A"/>
    <w:rsid w:val="004005AD"/>
    <w:rsid w:val="004023CC"/>
    <w:rsid w:val="00403E35"/>
    <w:rsid w:val="00407564"/>
    <w:rsid w:val="00411152"/>
    <w:rsid w:val="004156AA"/>
    <w:rsid w:val="00423E10"/>
    <w:rsid w:val="004253A1"/>
    <w:rsid w:val="004313B6"/>
    <w:rsid w:val="00433339"/>
    <w:rsid w:val="00446BBC"/>
    <w:rsid w:val="004472C0"/>
    <w:rsid w:val="00450705"/>
    <w:rsid w:val="00451928"/>
    <w:rsid w:val="0046618B"/>
    <w:rsid w:val="004720E0"/>
    <w:rsid w:val="0048608C"/>
    <w:rsid w:val="00496E57"/>
    <w:rsid w:val="004975B7"/>
    <w:rsid w:val="004A68D0"/>
    <w:rsid w:val="004B3E10"/>
    <w:rsid w:val="004C0F5D"/>
    <w:rsid w:val="004C375A"/>
    <w:rsid w:val="004C4954"/>
    <w:rsid w:val="004C5767"/>
    <w:rsid w:val="004D041F"/>
    <w:rsid w:val="004D5322"/>
    <w:rsid w:val="004D78B0"/>
    <w:rsid w:val="004E611F"/>
    <w:rsid w:val="004F2A79"/>
    <w:rsid w:val="004F4D37"/>
    <w:rsid w:val="00500B45"/>
    <w:rsid w:val="00501A14"/>
    <w:rsid w:val="00501DE3"/>
    <w:rsid w:val="005058CB"/>
    <w:rsid w:val="0051044D"/>
    <w:rsid w:val="005139E4"/>
    <w:rsid w:val="00515075"/>
    <w:rsid w:val="00517E99"/>
    <w:rsid w:val="00520FE9"/>
    <w:rsid w:val="005213B3"/>
    <w:rsid w:val="005233E7"/>
    <w:rsid w:val="005328B2"/>
    <w:rsid w:val="00535BD5"/>
    <w:rsid w:val="00540977"/>
    <w:rsid w:val="005414B7"/>
    <w:rsid w:val="00551668"/>
    <w:rsid w:val="005572D5"/>
    <w:rsid w:val="00561FD0"/>
    <w:rsid w:val="00566BE4"/>
    <w:rsid w:val="00570D21"/>
    <w:rsid w:val="00573856"/>
    <w:rsid w:val="00576113"/>
    <w:rsid w:val="00580620"/>
    <w:rsid w:val="00582558"/>
    <w:rsid w:val="00590652"/>
    <w:rsid w:val="0059235F"/>
    <w:rsid w:val="00593A69"/>
    <w:rsid w:val="00596936"/>
    <w:rsid w:val="005A2F1E"/>
    <w:rsid w:val="005A4232"/>
    <w:rsid w:val="005B4F64"/>
    <w:rsid w:val="005C3616"/>
    <w:rsid w:val="005C55F7"/>
    <w:rsid w:val="005D36B2"/>
    <w:rsid w:val="005D52E7"/>
    <w:rsid w:val="005D78B5"/>
    <w:rsid w:val="005E3572"/>
    <w:rsid w:val="005E45E4"/>
    <w:rsid w:val="005F0A81"/>
    <w:rsid w:val="005F0E90"/>
    <w:rsid w:val="005F0FCF"/>
    <w:rsid w:val="0060042F"/>
    <w:rsid w:val="006008BC"/>
    <w:rsid w:val="00602CFD"/>
    <w:rsid w:val="00606B55"/>
    <w:rsid w:val="00612A7B"/>
    <w:rsid w:val="006133DE"/>
    <w:rsid w:val="00616E5E"/>
    <w:rsid w:val="006173A4"/>
    <w:rsid w:val="00617E50"/>
    <w:rsid w:val="006205AD"/>
    <w:rsid w:val="00620E33"/>
    <w:rsid w:val="00625C3A"/>
    <w:rsid w:val="00635492"/>
    <w:rsid w:val="00635DDB"/>
    <w:rsid w:val="0064149A"/>
    <w:rsid w:val="00642CEF"/>
    <w:rsid w:val="00646DFE"/>
    <w:rsid w:val="00650530"/>
    <w:rsid w:val="00650731"/>
    <w:rsid w:val="00650C96"/>
    <w:rsid w:val="0065131D"/>
    <w:rsid w:val="00653788"/>
    <w:rsid w:val="0065477F"/>
    <w:rsid w:val="00656896"/>
    <w:rsid w:val="00661656"/>
    <w:rsid w:val="0066374F"/>
    <w:rsid w:val="00676ADB"/>
    <w:rsid w:val="00677C65"/>
    <w:rsid w:val="0068163A"/>
    <w:rsid w:val="006908BD"/>
    <w:rsid w:val="00693152"/>
    <w:rsid w:val="00694FAE"/>
    <w:rsid w:val="00696E3A"/>
    <w:rsid w:val="006A0834"/>
    <w:rsid w:val="006A36C9"/>
    <w:rsid w:val="006A4BBD"/>
    <w:rsid w:val="006A52F1"/>
    <w:rsid w:val="006B561D"/>
    <w:rsid w:val="006B6D5D"/>
    <w:rsid w:val="006C7EBB"/>
    <w:rsid w:val="006D2330"/>
    <w:rsid w:val="006E0F8B"/>
    <w:rsid w:val="006E12F7"/>
    <w:rsid w:val="006E29D7"/>
    <w:rsid w:val="007068A4"/>
    <w:rsid w:val="00706D67"/>
    <w:rsid w:val="00713052"/>
    <w:rsid w:val="007147A4"/>
    <w:rsid w:val="00721367"/>
    <w:rsid w:val="007231FA"/>
    <w:rsid w:val="00723731"/>
    <w:rsid w:val="00732C67"/>
    <w:rsid w:val="00734418"/>
    <w:rsid w:val="00757826"/>
    <w:rsid w:val="007632B7"/>
    <w:rsid w:val="0076382F"/>
    <w:rsid w:val="00765768"/>
    <w:rsid w:val="00765D10"/>
    <w:rsid w:val="00766AC8"/>
    <w:rsid w:val="00767486"/>
    <w:rsid w:val="0077070E"/>
    <w:rsid w:val="0077296A"/>
    <w:rsid w:val="00777CA4"/>
    <w:rsid w:val="00792DF0"/>
    <w:rsid w:val="0079438F"/>
    <w:rsid w:val="007946F9"/>
    <w:rsid w:val="00797CBB"/>
    <w:rsid w:val="007A3034"/>
    <w:rsid w:val="007A527E"/>
    <w:rsid w:val="007A53E7"/>
    <w:rsid w:val="007A78F7"/>
    <w:rsid w:val="007B3333"/>
    <w:rsid w:val="007B379F"/>
    <w:rsid w:val="007B37D6"/>
    <w:rsid w:val="007B5523"/>
    <w:rsid w:val="007B5D30"/>
    <w:rsid w:val="007D17E8"/>
    <w:rsid w:val="007D2920"/>
    <w:rsid w:val="007D42DD"/>
    <w:rsid w:val="007D7BA8"/>
    <w:rsid w:val="007E6A37"/>
    <w:rsid w:val="007F09F1"/>
    <w:rsid w:val="007F1774"/>
    <w:rsid w:val="00811A70"/>
    <w:rsid w:val="0081406E"/>
    <w:rsid w:val="00815633"/>
    <w:rsid w:val="0082693C"/>
    <w:rsid w:val="00832211"/>
    <w:rsid w:val="008325F4"/>
    <w:rsid w:val="00832AC8"/>
    <w:rsid w:val="00834449"/>
    <w:rsid w:val="00836450"/>
    <w:rsid w:val="00844981"/>
    <w:rsid w:val="00846FA4"/>
    <w:rsid w:val="00850840"/>
    <w:rsid w:val="008524BA"/>
    <w:rsid w:val="00852B74"/>
    <w:rsid w:val="00856928"/>
    <w:rsid w:val="008611AC"/>
    <w:rsid w:val="00865538"/>
    <w:rsid w:val="00870875"/>
    <w:rsid w:val="0088225C"/>
    <w:rsid w:val="00884026"/>
    <w:rsid w:val="00884C78"/>
    <w:rsid w:val="008859E1"/>
    <w:rsid w:val="00896264"/>
    <w:rsid w:val="00896BF3"/>
    <w:rsid w:val="008A09F9"/>
    <w:rsid w:val="008A37FC"/>
    <w:rsid w:val="008A5D88"/>
    <w:rsid w:val="008B2851"/>
    <w:rsid w:val="008C000E"/>
    <w:rsid w:val="008D0F2F"/>
    <w:rsid w:val="008D237F"/>
    <w:rsid w:val="008D2400"/>
    <w:rsid w:val="008D3FD8"/>
    <w:rsid w:val="008D6B05"/>
    <w:rsid w:val="008E1682"/>
    <w:rsid w:val="008E7D2D"/>
    <w:rsid w:val="008F202E"/>
    <w:rsid w:val="008F44C0"/>
    <w:rsid w:val="008F5999"/>
    <w:rsid w:val="00903AD6"/>
    <w:rsid w:val="00904D7A"/>
    <w:rsid w:val="00915332"/>
    <w:rsid w:val="009204BB"/>
    <w:rsid w:val="00924E5C"/>
    <w:rsid w:val="00935918"/>
    <w:rsid w:val="00935EC3"/>
    <w:rsid w:val="00951097"/>
    <w:rsid w:val="00953079"/>
    <w:rsid w:val="00953C1E"/>
    <w:rsid w:val="00961C1D"/>
    <w:rsid w:val="0096210F"/>
    <w:rsid w:val="00962633"/>
    <w:rsid w:val="00963187"/>
    <w:rsid w:val="00963ACF"/>
    <w:rsid w:val="00963D1C"/>
    <w:rsid w:val="00964284"/>
    <w:rsid w:val="0097028A"/>
    <w:rsid w:val="00973BD6"/>
    <w:rsid w:val="00984549"/>
    <w:rsid w:val="00985D28"/>
    <w:rsid w:val="009868A1"/>
    <w:rsid w:val="00991BF0"/>
    <w:rsid w:val="009A0FB1"/>
    <w:rsid w:val="009A1FAC"/>
    <w:rsid w:val="009B001A"/>
    <w:rsid w:val="009B1A62"/>
    <w:rsid w:val="009B4BDA"/>
    <w:rsid w:val="009C3CC7"/>
    <w:rsid w:val="009C7B35"/>
    <w:rsid w:val="009D2057"/>
    <w:rsid w:val="009D3D6C"/>
    <w:rsid w:val="009D5551"/>
    <w:rsid w:val="009D62DB"/>
    <w:rsid w:val="009D6F26"/>
    <w:rsid w:val="009E3B42"/>
    <w:rsid w:val="009E611E"/>
    <w:rsid w:val="009E7234"/>
    <w:rsid w:val="009F087A"/>
    <w:rsid w:val="009F3A20"/>
    <w:rsid w:val="00A05B60"/>
    <w:rsid w:val="00A13266"/>
    <w:rsid w:val="00A14FA6"/>
    <w:rsid w:val="00A15D64"/>
    <w:rsid w:val="00A20575"/>
    <w:rsid w:val="00A2109B"/>
    <w:rsid w:val="00A2213D"/>
    <w:rsid w:val="00A228EA"/>
    <w:rsid w:val="00A32452"/>
    <w:rsid w:val="00A32BBF"/>
    <w:rsid w:val="00A3420A"/>
    <w:rsid w:val="00A37444"/>
    <w:rsid w:val="00A4281A"/>
    <w:rsid w:val="00A459C0"/>
    <w:rsid w:val="00A459CF"/>
    <w:rsid w:val="00A5014D"/>
    <w:rsid w:val="00A53E96"/>
    <w:rsid w:val="00A56F18"/>
    <w:rsid w:val="00A60C91"/>
    <w:rsid w:val="00A628F8"/>
    <w:rsid w:val="00A62BAA"/>
    <w:rsid w:val="00A66172"/>
    <w:rsid w:val="00A744C3"/>
    <w:rsid w:val="00A90125"/>
    <w:rsid w:val="00A90B1A"/>
    <w:rsid w:val="00AA149E"/>
    <w:rsid w:val="00AA70AB"/>
    <w:rsid w:val="00AB0B9F"/>
    <w:rsid w:val="00AB1713"/>
    <w:rsid w:val="00AB63BE"/>
    <w:rsid w:val="00AC0673"/>
    <w:rsid w:val="00AC1EBC"/>
    <w:rsid w:val="00AC2599"/>
    <w:rsid w:val="00AC2DE9"/>
    <w:rsid w:val="00AD2C5F"/>
    <w:rsid w:val="00AE1481"/>
    <w:rsid w:val="00AE27F9"/>
    <w:rsid w:val="00AE77DB"/>
    <w:rsid w:val="00AF7453"/>
    <w:rsid w:val="00AF7A46"/>
    <w:rsid w:val="00AF7F43"/>
    <w:rsid w:val="00B00FFF"/>
    <w:rsid w:val="00B06084"/>
    <w:rsid w:val="00B06E4C"/>
    <w:rsid w:val="00B16735"/>
    <w:rsid w:val="00B17EDE"/>
    <w:rsid w:val="00B22585"/>
    <w:rsid w:val="00B23B0E"/>
    <w:rsid w:val="00B249F0"/>
    <w:rsid w:val="00B33693"/>
    <w:rsid w:val="00B34C53"/>
    <w:rsid w:val="00B507A5"/>
    <w:rsid w:val="00B52475"/>
    <w:rsid w:val="00B535DA"/>
    <w:rsid w:val="00B56DCC"/>
    <w:rsid w:val="00B56F54"/>
    <w:rsid w:val="00B638C2"/>
    <w:rsid w:val="00B758AB"/>
    <w:rsid w:val="00B76277"/>
    <w:rsid w:val="00B772AB"/>
    <w:rsid w:val="00B80395"/>
    <w:rsid w:val="00B80B56"/>
    <w:rsid w:val="00B86372"/>
    <w:rsid w:val="00B966EA"/>
    <w:rsid w:val="00BA1C17"/>
    <w:rsid w:val="00BA1D65"/>
    <w:rsid w:val="00BA6B8C"/>
    <w:rsid w:val="00BB3B4D"/>
    <w:rsid w:val="00BC1E97"/>
    <w:rsid w:val="00BC351E"/>
    <w:rsid w:val="00BC3F77"/>
    <w:rsid w:val="00BC5635"/>
    <w:rsid w:val="00BC5675"/>
    <w:rsid w:val="00BD081C"/>
    <w:rsid w:val="00BD277B"/>
    <w:rsid w:val="00BD47CA"/>
    <w:rsid w:val="00BD62C7"/>
    <w:rsid w:val="00BE020D"/>
    <w:rsid w:val="00BE354A"/>
    <w:rsid w:val="00BF5EEF"/>
    <w:rsid w:val="00C02553"/>
    <w:rsid w:val="00C03299"/>
    <w:rsid w:val="00C04EB6"/>
    <w:rsid w:val="00C056F9"/>
    <w:rsid w:val="00C1018C"/>
    <w:rsid w:val="00C1150E"/>
    <w:rsid w:val="00C13624"/>
    <w:rsid w:val="00C14D52"/>
    <w:rsid w:val="00C16C08"/>
    <w:rsid w:val="00C2586C"/>
    <w:rsid w:val="00C26001"/>
    <w:rsid w:val="00C31232"/>
    <w:rsid w:val="00C34BBB"/>
    <w:rsid w:val="00C34E72"/>
    <w:rsid w:val="00C40B48"/>
    <w:rsid w:val="00C411E3"/>
    <w:rsid w:val="00C52117"/>
    <w:rsid w:val="00C53AF1"/>
    <w:rsid w:val="00C56B1F"/>
    <w:rsid w:val="00C61B52"/>
    <w:rsid w:val="00C62745"/>
    <w:rsid w:val="00C654CA"/>
    <w:rsid w:val="00C722C9"/>
    <w:rsid w:val="00C75AD0"/>
    <w:rsid w:val="00C763BD"/>
    <w:rsid w:val="00C779A8"/>
    <w:rsid w:val="00C82E19"/>
    <w:rsid w:val="00C96873"/>
    <w:rsid w:val="00CA1735"/>
    <w:rsid w:val="00CA3C4B"/>
    <w:rsid w:val="00CA7252"/>
    <w:rsid w:val="00CB03B1"/>
    <w:rsid w:val="00CB2581"/>
    <w:rsid w:val="00CB2C5A"/>
    <w:rsid w:val="00CC66FE"/>
    <w:rsid w:val="00CE0C1C"/>
    <w:rsid w:val="00CE34AF"/>
    <w:rsid w:val="00CF00A4"/>
    <w:rsid w:val="00CF25FB"/>
    <w:rsid w:val="00CF614C"/>
    <w:rsid w:val="00D02F34"/>
    <w:rsid w:val="00D13D87"/>
    <w:rsid w:val="00D16590"/>
    <w:rsid w:val="00D20720"/>
    <w:rsid w:val="00D250D9"/>
    <w:rsid w:val="00D27533"/>
    <w:rsid w:val="00D33BA4"/>
    <w:rsid w:val="00D42DA3"/>
    <w:rsid w:val="00D4546D"/>
    <w:rsid w:val="00D47996"/>
    <w:rsid w:val="00D5788C"/>
    <w:rsid w:val="00D61118"/>
    <w:rsid w:val="00D614F1"/>
    <w:rsid w:val="00D61BED"/>
    <w:rsid w:val="00D70C59"/>
    <w:rsid w:val="00D70D50"/>
    <w:rsid w:val="00D71917"/>
    <w:rsid w:val="00D9012C"/>
    <w:rsid w:val="00DA3A0F"/>
    <w:rsid w:val="00DA4E62"/>
    <w:rsid w:val="00DA6990"/>
    <w:rsid w:val="00DB27BA"/>
    <w:rsid w:val="00DB337A"/>
    <w:rsid w:val="00DC0239"/>
    <w:rsid w:val="00DC2524"/>
    <w:rsid w:val="00DC51CB"/>
    <w:rsid w:val="00DD3A5C"/>
    <w:rsid w:val="00DD4819"/>
    <w:rsid w:val="00DD4B8A"/>
    <w:rsid w:val="00DD5403"/>
    <w:rsid w:val="00DE1388"/>
    <w:rsid w:val="00DE7501"/>
    <w:rsid w:val="00DF3146"/>
    <w:rsid w:val="00DF57C3"/>
    <w:rsid w:val="00E008D9"/>
    <w:rsid w:val="00E02FE0"/>
    <w:rsid w:val="00E03259"/>
    <w:rsid w:val="00E07ABE"/>
    <w:rsid w:val="00E11A3F"/>
    <w:rsid w:val="00E1386E"/>
    <w:rsid w:val="00E2369B"/>
    <w:rsid w:val="00E23EC0"/>
    <w:rsid w:val="00E354AA"/>
    <w:rsid w:val="00E43D54"/>
    <w:rsid w:val="00E442FB"/>
    <w:rsid w:val="00E529DB"/>
    <w:rsid w:val="00E53A5E"/>
    <w:rsid w:val="00E541FE"/>
    <w:rsid w:val="00E6466A"/>
    <w:rsid w:val="00E72221"/>
    <w:rsid w:val="00E83428"/>
    <w:rsid w:val="00E8351C"/>
    <w:rsid w:val="00E84C58"/>
    <w:rsid w:val="00E873A5"/>
    <w:rsid w:val="00E90D11"/>
    <w:rsid w:val="00E915E5"/>
    <w:rsid w:val="00E941B8"/>
    <w:rsid w:val="00EB0367"/>
    <w:rsid w:val="00EB4FB9"/>
    <w:rsid w:val="00EB5BC8"/>
    <w:rsid w:val="00EC2738"/>
    <w:rsid w:val="00EC63CB"/>
    <w:rsid w:val="00EC77C4"/>
    <w:rsid w:val="00ED2BE6"/>
    <w:rsid w:val="00ED7B42"/>
    <w:rsid w:val="00EE3A48"/>
    <w:rsid w:val="00EE3EA5"/>
    <w:rsid w:val="00EE613F"/>
    <w:rsid w:val="00EE6BD1"/>
    <w:rsid w:val="00EF018D"/>
    <w:rsid w:val="00EF0262"/>
    <w:rsid w:val="00EF0828"/>
    <w:rsid w:val="00EF6F8B"/>
    <w:rsid w:val="00F03898"/>
    <w:rsid w:val="00F1527A"/>
    <w:rsid w:val="00F24D19"/>
    <w:rsid w:val="00F2696B"/>
    <w:rsid w:val="00F27821"/>
    <w:rsid w:val="00F34D97"/>
    <w:rsid w:val="00F3666E"/>
    <w:rsid w:val="00F4092A"/>
    <w:rsid w:val="00F41F69"/>
    <w:rsid w:val="00F43E41"/>
    <w:rsid w:val="00F457ED"/>
    <w:rsid w:val="00F4790C"/>
    <w:rsid w:val="00F50C4B"/>
    <w:rsid w:val="00F54C08"/>
    <w:rsid w:val="00F553A2"/>
    <w:rsid w:val="00F6068C"/>
    <w:rsid w:val="00F62F33"/>
    <w:rsid w:val="00F6303D"/>
    <w:rsid w:val="00F63A52"/>
    <w:rsid w:val="00F730BA"/>
    <w:rsid w:val="00F84094"/>
    <w:rsid w:val="00F8717F"/>
    <w:rsid w:val="00F903BE"/>
    <w:rsid w:val="00F95D04"/>
    <w:rsid w:val="00FA16EC"/>
    <w:rsid w:val="00FA2811"/>
    <w:rsid w:val="00FA4837"/>
    <w:rsid w:val="00FB1D33"/>
    <w:rsid w:val="00FB5E96"/>
    <w:rsid w:val="00FC05A0"/>
    <w:rsid w:val="00FC06D7"/>
    <w:rsid w:val="00FC6758"/>
    <w:rsid w:val="00FD34EA"/>
    <w:rsid w:val="00FE3F3E"/>
    <w:rsid w:val="00FE4D52"/>
    <w:rsid w:val="00FE5AEE"/>
    <w:rsid w:val="00FF106B"/>
    <w:rsid w:val="00FF24DF"/>
    <w:rsid w:val="00FF3937"/>
    <w:rsid w:val="63DA92F4"/>
    <w:rsid w:val="643A68B3"/>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B7"/>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styleId="FollowedHyperlink">
    <w:name w:val="FollowedHyperlink"/>
    <w:basedOn w:val="DefaultParagraphFont"/>
    <w:uiPriority w:val="99"/>
    <w:semiHidden/>
    <w:unhideWhenUsed/>
    <w:rsid w:val="007147A4"/>
    <w:rPr>
      <w:color w:val="800080" w:themeColor="followedHyperlink"/>
      <w:u w:val="single"/>
    </w:rPr>
  </w:style>
  <w:style w:type="character" w:styleId="CommentReference">
    <w:name w:val="annotation reference"/>
    <w:basedOn w:val="DefaultParagraphFont"/>
    <w:uiPriority w:val="99"/>
    <w:semiHidden/>
    <w:unhideWhenUsed/>
    <w:rsid w:val="00C31232"/>
    <w:rPr>
      <w:sz w:val="16"/>
      <w:szCs w:val="16"/>
    </w:rPr>
  </w:style>
  <w:style w:type="paragraph" w:styleId="CommentSubject">
    <w:name w:val="annotation subject"/>
    <w:basedOn w:val="CommentText"/>
    <w:next w:val="CommentText"/>
    <w:link w:val="CommentSubjectChar"/>
    <w:uiPriority w:val="99"/>
    <w:semiHidden/>
    <w:unhideWhenUsed/>
    <w:rsid w:val="00C31232"/>
    <w:rPr>
      <w:b/>
      <w:bCs/>
    </w:rPr>
  </w:style>
  <w:style w:type="character" w:customStyle="1" w:styleId="CommentTextChar">
    <w:name w:val="Comment Text Char"/>
    <w:basedOn w:val="DefaultParagraphFont"/>
    <w:link w:val="CommentText"/>
    <w:semiHidden/>
    <w:rsid w:val="00C31232"/>
    <w:rPr>
      <w:rFonts w:ascii="Arial" w:hAnsi="Arial"/>
    </w:rPr>
  </w:style>
  <w:style w:type="character" w:customStyle="1" w:styleId="CommentSubjectChar">
    <w:name w:val="Comment Subject Char"/>
    <w:basedOn w:val="CommentTextChar"/>
    <w:link w:val="CommentSubject"/>
    <w:uiPriority w:val="99"/>
    <w:semiHidden/>
    <w:rsid w:val="00C31232"/>
    <w:rPr>
      <w:rFonts w:ascii="Arial" w:hAnsi="Arial"/>
      <w:b/>
      <w:bCs/>
    </w:rPr>
  </w:style>
  <w:style w:type="character" w:customStyle="1" w:styleId="GWBullets3Char">
    <w:name w:val="GW Bullets 3 Char"/>
    <w:basedOn w:val="DefaultParagraphFont"/>
    <w:link w:val="GWBullets3"/>
    <w:locked/>
    <w:rsid w:val="009B4BDA"/>
    <w:rPr>
      <w:rFonts w:ascii="Arial" w:eastAsia="Arial" w:hAnsi="Arial" w:cs="Arial"/>
      <w:color w:val="2B3A44"/>
    </w:rPr>
  </w:style>
  <w:style w:type="paragraph" w:customStyle="1" w:styleId="GWBullets3">
    <w:name w:val="GW Bullets 3"/>
    <w:basedOn w:val="Normal"/>
    <w:link w:val="GWBullets3Char"/>
    <w:qFormat/>
    <w:rsid w:val="009B4BDA"/>
    <w:pPr>
      <w:widowControl w:val="0"/>
      <w:numPr>
        <w:numId w:val="24"/>
      </w:numPr>
      <w:autoSpaceDE w:val="0"/>
      <w:autoSpaceDN w:val="0"/>
      <w:spacing w:before="1" w:after="120" w:line="288" w:lineRule="auto"/>
      <w:ind w:left="1080" w:right="720"/>
    </w:pPr>
    <w:rPr>
      <w:rFonts w:eastAsia="Arial" w:cs="Arial"/>
      <w:color w:val="2B3A44"/>
      <w:szCs w:val="20"/>
    </w:rPr>
  </w:style>
  <w:style w:type="paragraph" w:styleId="Revision">
    <w:name w:val="Revision"/>
    <w:hidden/>
    <w:uiPriority w:val="99"/>
    <w:semiHidden/>
    <w:rsid w:val="00C40B48"/>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900410312">
      <w:bodyDiv w:val="1"/>
      <w:marLeft w:val="0"/>
      <w:marRight w:val="0"/>
      <w:marTop w:val="0"/>
      <w:marBottom w:val="0"/>
      <w:divBdr>
        <w:top w:val="none" w:sz="0" w:space="0" w:color="auto"/>
        <w:left w:val="none" w:sz="0" w:space="0" w:color="auto"/>
        <w:bottom w:val="none" w:sz="0" w:space="0" w:color="auto"/>
        <w:right w:val="none" w:sz="0" w:space="0" w:color="auto"/>
      </w:divBdr>
      <w:divsChild>
        <w:div w:id="987442203">
          <w:marLeft w:val="0"/>
          <w:marRight w:val="0"/>
          <w:marTop w:val="0"/>
          <w:marBottom w:val="0"/>
          <w:divBdr>
            <w:top w:val="none" w:sz="0" w:space="0" w:color="auto"/>
            <w:left w:val="none" w:sz="0" w:space="0" w:color="auto"/>
            <w:bottom w:val="none" w:sz="0" w:space="0" w:color="auto"/>
            <w:right w:val="none" w:sz="0" w:space="0" w:color="auto"/>
          </w:divBdr>
        </w:div>
        <w:div w:id="117141175">
          <w:marLeft w:val="0"/>
          <w:marRight w:val="0"/>
          <w:marTop w:val="0"/>
          <w:marBottom w:val="0"/>
          <w:divBdr>
            <w:top w:val="none" w:sz="0" w:space="0" w:color="auto"/>
            <w:left w:val="none" w:sz="0" w:space="0" w:color="auto"/>
            <w:bottom w:val="none" w:sz="0" w:space="0" w:color="auto"/>
            <w:right w:val="none" w:sz="0" w:space="0" w:color="auto"/>
          </w:divBdr>
        </w:div>
        <w:div w:id="1004433681">
          <w:marLeft w:val="0"/>
          <w:marRight w:val="0"/>
          <w:marTop w:val="0"/>
          <w:marBottom w:val="0"/>
          <w:divBdr>
            <w:top w:val="none" w:sz="0" w:space="0" w:color="auto"/>
            <w:left w:val="none" w:sz="0" w:space="0" w:color="auto"/>
            <w:bottom w:val="none" w:sz="0" w:space="0" w:color="auto"/>
            <w:right w:val="none" w:sz="0" w:space="0" w:color="auto"/>
          </w:divBdr>
        </w:div>
      </w:divsChild>
    </w:div>
    <w:div w:id="937903415">
      <w:bodyDiv w:val="1"/>
      <w:marLeft w:val="0"/>
      <w:marRight w:val="0"/>
      <w:marTop w:val="0"/>
      <w:marBottom w:val="0"/>
      <w:divBdr>
        <w:top w:val="none" w:sz="0" w:space="0" w:color="auto"/>
        <w:left w:val="none" w:sz="0" w:space="0" w:color="auto"/>
        <w:bottom w:val="none" w:sz="0" w:space="0" w:color="auto"/>
        <w:right w:val="none" w:sz="0" w:space="0" w:color="auto"/>
      </w:divBdr>
      <w:divsChild>
        <w:div w:id="2012220793">
          <w:marLeft w:val="0"/>
          <w:marRight w:val="0"/>
          <w:marTop w:val="0"/>
          <w:marBottom w:val="0"/>
          <w:divBdr>
            <w:top w:val="none" w:sz="0" w:space="0" w:color="auto"/>
            <w:left w:val="none" w:sz="0" w:space="0" w:color="auto"/>
            <w:bottom w:val="none" w:sz="0" w:space="0" w:color="auto"/>
            <w:right w:val="none" w:sz="0" w:space="0" w:color="auto"/>
          </w:divBdr>
        </w:div>
        <w:div w:id="1648629338">
          <w:marLeft w:val="0"/>
          <w:marRight w:val="0"/>
          <w:marTop w:val="0"/>
          <w:marBottom w:val="0"/>
          <w:divBdr>
            <w:top w:val="none" w:sz="0" w:space="0" w:color="auto"/>
            <w:left w:val="none" w:sz="0" w:space="0" w:color="auto"/>
            <w:bottom w:val="none" w:sz="0" w:space="0" w:color="auto"/>
            <w:right w:val="none" w:sz="0" w:space="0" w:color="auto"/>
          </w:divBdr>
        </w:div>
        <w:div w:id="230625132">
          <w:marLeft w:val="0"/>
          <w:marRight w:val="0"/>
          <w:marTop w:val="0"/>
          <w:marBottom w:val="0"/>
          <w:divBdr>
            <w:top w:val="none" w:sz="0" w:space="0" w:color="auto"/>
            <w:left w:val="none" w:sz="0" w:space="0" w:color="auto"/>
            <w:bottom w:val="none" w:sz="0" w:space="0" w:color="auto"/>
            <w:right w:val="none" w:sz="0" w:space="0" w:color="auto"/>
          </w:divBdr>
        </w:div>
      </w:divsChild>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medicine.medscape.com/article/211316-overview"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dc.gov/nchhstp/director-letters/cdc-publishes-new-hiv-surveillance-report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inicalinfo.hiv.gov/en/guidelines/adult-and-adolescent-ar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7335B-4222-48D7-81BA-0E063E4F6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9992BC-7C11-4A83-A97F-D2E41AE80BFC}">
  <ds:schemaRefs>
    <ds:schemaRef ds:uri="http://schemas.microsoft.com/office/2006/metadata/properties"/>
    <ds:schemaRef ds:uri="http://schemas.microsoft.com/office/infopath/2007/PartnerControls"/>
    <ds:schemaRef ds:uri="http://schemas.microsoft.com/sharepoint/v3"/>
    <ds:schemaRef ds:uri="f5eefb00-5952-4f7e-8cf8-96f81cfadd01"/>
    <ds:schemaRef ds:uri="aba01ddc-ae9a-4c9e-819c-7140b4239cde"/>
  </ds:schemaRefs>
</ds:datastoreItem>
</file>

<file path=customXml/itemProps3.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4.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1333</Words>
  <Characters>8540</Characters>
  <Application>Microsoft Office Word</Application>
  <DocSecurity>0</DocSecurity>
  <Lines>71</Lines>
  <Paragraphs>19</Paragraphs>
  <ScaleCrop>false</ScaleCrop>
  <Company>DSS</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Antiretroviral Therapy (ART) PDL Edit</dc:title>
  <dc:creator>DMS</dc:creator>
  <cp:lastModifiedBy>Colozza, Jennifer</cp:lastModifiedBy>
  <cp:revision>117</cp:revision>
  <cp:lastPrinted>2018-10-31T20:17:00Z</cp:lastPrinted>
  <dcterms:created xsi:type="dcterms:W3CDTF">2025-12-19T21:28:00Z</dcterms:created>
  <dcterms:modified xsi:type="dcterms:W3CDTF">2026-01-14T21:08:00Z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