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BE7759B" w:rsidR="004C5767" w:rsidRPr="008859E1" w:rsidRDefault="004C5767" w:rsidP="00D27533">
      <w:pPr>
        <w:pStyle w:val="tbody"/>
        <w:rPr>
          <w:b w:val="0"/>
          <w:bCs/>
        </w:rPr>
      </w:pPr>
      <w:r w:rsidRPr="00C02553">
        <w:t>Drug/Drug Class:</w:t>
      </w:r>
      <w:r w:rsidR="003B4820" w:rsidRPr="00573856">
        <w:rPr>
          <w:b w:val="0"/>
          <w:bCs/>
        </w:rPr>
        <w:t xml:space="preserve"> </w:t>
      </w:r>
      <w:r w:rsidR="009B7CB2" w:rsidRPr="009B7CB2">
        <w:rPr>
          <w:b w:val="0"/>
          <w:bCs/>
        </w:rPr>
        <w:t>Anticonvulsants, Dravet Syndrome PDL Edit</w:t>
      </w:r>
    </w:p>
    <w:p w14:paraId="7AD7FFCE" w14:textId="75E950ED" w:rsidR="004C5767" w:rsidRPr="00C02553" w:rsidRDefault="004C5767" w:rsidP="00D27533">
      <w:pPr>
        <w:pStyle w:val="tbody"/>
      </w:pPr>
      <w:r w:rsidRPr="00C02553">
        <w:t>First Implementation Date:</w:t>
      </w:r>
      <w:r w:rsidRPr="00573856">
        <w:rPr>
          <w:b w:val="0"/>
          <w:bCs/>
        </w:rPr>
        <w:t xml:space="preserve"> </w:t>
      </w:r>
      <w:r w:rsidR="00661CDA" w:rsidRPr="00661CDA">
        <w:rPr>
          <w:b w:val="0"/>
          <w:bCs/>
        </w:rPr>
        <w:t>April 1, 2021</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0675C7E" w:rsidR="004C5767" w:rsidRPr="00D27533" w:rsidRDefault="004C5767" w:rsidP="00D27533">
      <w:pPr>
        <w:pStyle w:val="tbody"/>
        <w:rPr>
          <w:b w:val="0"/>
          <w:bCs/>
          <w:spacing w:val="-3"/>
        </w:rPr>
      </w:pPr>
      <w:r w:rsidRPr="0000368D">
        <w:t xml:space="preserve">Criteria Status: </w:t>
      </w:r>
      <w:r w:rsidR="00566BE4" w:rsidRPr="0000368D">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892CA4C" w14:textId="77777777" w:rsidR="006E1C65" w:rsidRPr="0066243E" w:rsidRDefault="006E1C65" w:rsidP="006E1C65">
      <w:pPr>
        <w:pStyle w:val="Header"/>
        <w:tabs>
          <w:tab w:val="clear" w:pos="4320"/>
          <w:tab w:val="clear" w:pos="8640"/>
        </w:tabs>
        <w:rPr>
          <w:rFonts w:cs="Arial"/>
          <w:spacing w:val="-3"/>
          <w:sz w:val="20"/>
          <w:highlight w:val="yellow"/>
        </w:rPr>
      </w:pPr>
      <w:r w:rsidRPr="0066243E">
        <w:rPr>
          <w:rFonts w:cs="Arial"/>
          <w:spacing w:val="-3"/>
          <w:sz w:val="20"/>
        </w:rPr>
        <w:t>Dravet syndrome (DS), a rare genetic form of epilepsy afflicting 1 in 15,700 births in the United States, appears during the first year of life in otherwise healthy infants as a prolonged seizure with fever. Quality of life for an individual with DS can be severely impacted as the condition is often associated with a multitude of comorbidities including frequent and prolonged seizures, movement and balance issues, delayed language and speech issues, behavioral and developmental delays, growth and nutritional issues, sleep difficulties, chronic infections, sensory integration disorders, and dysautonomia (disruptions of the autonomic nervous system, with difficulty regulating body temperature, heart rate, blood pressure, etc.).  Diacomit</w:t>
      </w:r>
      <w:r w:rsidRPr="0066243E">
        <w:rPr>
          <w:rFonts w:cs="Arial"/>
          <w:spacing w:val="-3"/>
          <w:sz w:val="20"/>
          <w:vertAlign w:val="superscript"/>
        </w:rPr>
        <w:t>®</w:t>
      </w:r>
      <w:r w:rsidRPr="0066243E">
        <w:rPr>
          <w:rFonts w:cs="Arial"/>
          <w:spacing w:val="-3"/>
          <w:sz w:val="20"/>
        </w:rPr>
        <w:t>, indicated only for DS, must be used in combination with clobazam.</w:t>
      </w:r>
      <w:r>
        <w:rPr>
          <w:rFonts w:cs="Arial"/>
          <w:spacing w:val="-3"/>
          <w:sz w:val="20"/>
        </w:rPr>
        <w:t xml:space="preserve">  </w:t>
      </w:r>
      <w:r w:rsidRPr="0066243E">
        <w:rPr>
          <w:rFonts w:cs="Arial"/>
          <w:spacing w:val="-3"/>
          <w:sz w:val="20"/>
        </w:rPr>
        <w:t>Epidiolex</w:t>
      </w:r>
      <w:r w:rsidRPr="0066243E">
        <w:rPr>
          <w:rFonts w:cs="Arial"/>
          <w:spacing w:val="-3"/>
          <w:sz w:val="20"/>
          <w:vertAlign w:val="superscript"/>
        </w:rPr>
        <w:t>®</w:t>
      </w:r>
      <w:r w:rsidRPr="0066243E">
        <w:rPr>
          <w:rFonts w:cs="Arial"/>
          <w:spacing w:val="-3"/>
          <w:sz w:val="20"/>
        </w:rPr>
        <w:t xml:space="preserve"> has additional indications for Lennox-Gastaut syndrome (LGS) and Tuberous sclerosis complex (TSC)</w:t>
      </w:r>
      <w:r>
        <w:rPr>
          <w:rFonts w:cs="Arial"/>
          <w:spacing w:val="-3"/>
          <w:sz w:val="20"/>
        </w:rPr>
        <w:t xml:space="preserve">.  </w:t>
      </w:r>
      <w:r w:rsidRPr="0066243E">
        <w:rPr>
          <w:rFonts w:cs="Arial"/>
          <w:spacing w:val="-3"/>
          <w:sz w:val="20"/>
        </w:rPr>
        <w:t xml:space="preserve">While LGS is also a form of epilepsy, TSC is a genetic condition that results in the formation of non-cancerous tumors in various parts of the body such as the brain, kidney, heart, eyes, lungs, and skin. Both are considered rare conditions with LGS accounting for 1-4% of all childhood epilepsy cases and TSC affecting approximately 40,000 to 80,000 individuals in the United States. </w:t>
      </w:r>
      <w:r>
        <w:rPr>
          <w:rFonts w:cs="Arial"/>
          <w:spacing w:val="-3"/>
          <w:sz w:val="20"/>
        </w:rPr>
        <w:t xml:space="preserve"> </w:t>
      </w:r>
      <w:r w:rsidRPr="0066243E">
        <w:rPr>
          <w:rFonts w:cs="Arial"/>
          <w:spacing w:val="-3"/>
          <w:sz w:val="20"/>
        </w:rPr>
        <w:t>Fintepla</w:t>
      </w:r>
      <w:r w:rsidRPr="0066243E">
        <w:rPr>
          <w:rFonts w:cs="Arial"/>
          <w:spacing w:val="-3"/>
          <w:sz w:val="20"/>
          <w:vertAlign w:val="superscript"/>
        </w:rPr>
        <w:t>®</w:t>
      </w:r>
      <w:r w:rsidRPr="0066243E">
        <w:rPr>
          <w:rFonts w:cs="Arial"/>
          <w:spacing w:val="-3"/>
          <w:sz w:val="20"/>
        </w:rPr>
        <w:t xml:space="preserve"> has an additional indication for LGS as well</w:t>
      </w:r>
      <w:r>
        <w:rPr>
          <w:rFonts w:cs="Arial"/>
          <w:spacing w:val="-3"/>
          <w:sz w:val="20"/>
        </w:rPr>
        <w:t xml:space="preserve"> and</w:t>
      </w:r>
      <w:r w:rsidRPr="0066243E">
        <w:rPr>
          <w:rFonts w:cs="Arial"/>
          <w:spacing w:val="-3"/>
          <w:sz w:val="20"/>
        </w:rPr>
        <w:t xml:space="preserve"> is only available through a REMS program that requires echocardiograms before, during, and after therapy.</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2E9AF2DA" w:rsidR="00846FA4" w:rsidRDefault="00071421" w:rsidP="00846FA4">
      <w:pPr>
        <w:pStyle w:val="ListParagraph"/>
      </w:pPr>
      <w:r w:rsidRPr="1AC235A1">
        <w:rPr>
          <w:rFonts w:cs="Arial"/>
          <w:spacing w:val="-3"/>
        </w:rPr>
        <w:t>Epidiolex</w:t>
      </w:r>
      <w:r w:rsidR="00846FA4" w:rsidRPr="00846FA4">
        <w:rPr>
          <w:vertAlign w:val="superscript"/>
        </w:rPr>
        <w:t>®</w:t>
      </w:r>
    </w:p>
    <w:p w14:paraId="5DAB2179" w14:textId="77777777" w:rsidR="00FD34EA" w:rsidRPr="0079073D" w:rsidRDefault="3F8B7918" w:rsidP="1AC235A1">
      <w:pPr>
        <w:pStyle w:val="ListParagraph"/>
        <w:rPr>
          <w:b/>
          <w:bCs/>
          <w:color w:val="1F497D" w:themeColor="text2"/>
        </w:rPr>
      </w:pPr>
      <w:r w:rsidRPr="0079073D">
        <w:rPr>
          <w:b/>
          <w:bCs/>
          <w:color w:val="1F497D" w:themeColor="text2"/>
        </w:rPr>
        <w:t>Diacomit</w:t>
      </w:r>
      <w:r w:rsidRPr="0079073D">
        <w:rPr>
          <w:b/>
          <w:bCs/>
          <w:color w:val="1F497D" w:themeColor="text2"/>
          <w:vertAlign w:val="superscript"/>
        </w:rPr>
        <w:t>®</w:t>
      </w:r>
    </w:p>
    <w:p w14:paraId="19EBA551" w14:textId="3A62FFD1" w:rsidR="00FD34EA" w:rsidRPr="0079073D" w:rsidRDefault="3F8B7918" w:rsidP="1AC235A1">
      <w:pPr>
        <w:pStyle w:val="ListParagraph"/>
        <w:rPr>
          <w:b/>
          <w:bCs/>
          <w:color w:val="1F497D" w:themeColor="text2"/>
        </w:rPr>
      </w:pPr>
      <w:r w:rsidRPr="0079073D">
        <w:rPr>
          <w:b/>
          <w:bCs/>
          <w:color w:val="1F497D" w:themeColor="text2"/>
        </w:rPr>
        <w:t>Fintepla</w:t>
      </w:r>
      <w:r w:rsidRPr="0079073D">
        <w:rPr>
          <w:b/>
          <w:bCs/>
          <w:color w:val="1F497D" w:themeColor="text2"/>
          <w:vertAlign w:val="superscript"/>
        </w:rPr>
        <w:t>®</w:t>
      </w:r>
    </w:p>
    <w:p w14:paraId="47320590" w14:textId="33D90ADE" w:rsidR="00FD34EA" w:rsidRDefault="00FD34EA" w:rsidP="00696E3A">
      <w:pPr>
        <w:rPr>
          <w:rFonts w:cs="Arial"/>
        </w:rPr>
      </w:pPr>
    </w:p>
    <w:p w14:paraId="56404718" w14:textId="252714AD" w:rsidR="00846FA4" w:rsidRDefault="00846FA4" w:rsidP="00846FA4">
      <w:pPr>
        <w:rPr>
          <w:b/>
          <w:bCs/>
        </w:rPr>
      </w:pPr>
      <w:r>
        <w:rPr>
          <w:b/>
          <w:bCs/>
        </w:rPr>
        <w:t>Non-Preferred Agents:</w:t>
      </w:r>
    </w:p>
    <w:p w14:paraId="67C66B84" w14:textId="320CD708" w:rsidR="0079073D" w:rsidRPr="0079073D" w:rsidRDefault="0079073D" w:rsidP="0079073D">
      <w:pPr>
        <w:pStyle w:val="ListParagraph"/>
        <w:rPr>
          <w:b/>
          <w:bCs/>
          <w:i/>
          <w:iCs/>
          <w:color w:val="1F497D" w:themeColor="text2"/>
        </w:rPr>
      </w:pPr>
      <w:r w:rsidRPr="0079073D">
        <w:rPr>
          <w:b/>
          <w:bCs/>
          <w:i/>
          <w:iCs/>
          <w:color w:val="1F497D" w:themeColor="text2"/>
        </w:rPr>
        <w:t>N/A</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85BA40D" w:rsidR="0097028A" w:rsidRPr="0079438F" w:rsidRDefault="0097028A" w:rsidP="00696E3A">
      <w:pPr>
        <w:rPr>
          <w:b/>
        </w:rPr>
      </w:pPr>
      <w:r w:rsidRPr="00696E3A">
        <w:rPr>
          <w:b/>
          <w:bCs/>
        </w:rPr>
        <w:t>Drug class for review:</w:t>
      </w:r>
      <w:r w:rsidRPr="00C02553">
        <w:t xml:space="preserve"> </w:t>
      </w:r>
      <w:r w:rsidR="00803C62">
        <w:rPr>
          <w:rFonts w:cs="Arial"/>
          <w:szCs w:val="20"/>
        </w:rPr>
        <w:t>Anticonvulsants, Dravet Syndrome</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8746129" w14:textId="77777777" w:rsidR="00B503C0" w:rsidRDefault="00B503C0" w:rsidP="00B503C0">
      <w:pPr>
        <w:pStyle w:val="ListParagraph"/>
        <w:numPr>
          <w:ilvl w:val="0"/>
          <w:numId w:val="17"/>
        </w:numPr>
        <w:rPr>
          <w:rFonts w:cs="Arial"/>
        </w:rPr>
      </w:pPr>
      <w:r>
        <w:rPr>
          <w:rFonts w:cs="Arial"/>
        </w:rPr>
        <w:t>Must meet one of the following:</w:t>
      </w:r>
    </w:p>
    <w:p w14:paraId="73C023E7" w14:textId="77777777" w:rsidR="00B503C0" w:rsidRDefault="00B503C0" w:rsidP="00B503C0">
      <w:pPr>
        <w:pStyle w:val="ListParagraph"/>
        <w:numPr>
          <w:ilvl w:val="1"/>
          <w:numId w:val="17"/>
        </w:numPr>
        <w:rPr>
          <w:rFonts w:cs="Arial"/>
        </w:rPr>
      </w:pPr>
      <w:r>
        <w:rPr>
          <w:rFonts w:cs="Arial"/>
        </w:rPr>
        <w:t xml:space="preserve">Claim is for a preferred agent; </w:t>
      </w:r>
    </w:p>
    <w:p w14:paraId="2D2E5619" w14:textId="77777777" w:rsidR="00B503C0" w:rsidRPr="000A3D20" w:rsidRDefault="00B503C0" w:rsidP="00B503C0">
      <w:pPr>
        <w:pStyle w:val="ListParagraph"/>
        <w:numPr>
          <w:ilvl w:val="1"/>
          <w:numId w:val="17"/>
        </w:numPr>
        <w:rPr>
          <w:rFonts w:cs="Arial"/>
        </w:rPr>
      </w:pPr>
      <w:r>
        <w:rPr>
          <w:rFonts w:cs="Arial"/>
        </w:rPr>
        <w:lastRenderedPageBreak/>
        <w:t xml:space="preserve">Documented compliance on current therapy regimen; </w:t>
      </w:r>
      <w:r w:rsidRPr="001C3055">
        <w:rPr>
          <w:rFonts w:cs="Arial"/>
          <w:b/>
          <w:bCs/>
        </w:rPr>
        <w:t>OR</w:t>
      </w:r>
    </w:p>
    <w:p w14:paraId="65A9B640" w14:textId="77777777" w:rsidR="00B503C0" w:rsidRPr="000110B5" w:rsidRDefault="00B503C0" w:rsidP="00B503C0">
      <w:pPr>
        <w:pStyle w:val="ListParagraph"/>
        <w:numPr>
          <w:ilvl w:val="1"/>
          <w:numId w:val="16"/>
        </w:numPr>
        <w:rPr>
          <w:rFonts w:cs="Arial"/>
          <w:szCs w:val="20"/>
        </w:rPr>
      </w:pPr>
      <w:r w:rsidRPr="000110B5">
        <w:rPr>
          <w:rFonts w:cs="Arial"/>
          <w:szCs w:val="20"/>
        </w:rPr>
        <w:t>Failure to achieve desired therapeutic outcomes with trial of 1 preferred agent</w:t>
      </w:r>
      <w:r>
        <w:rPr>
          <w:rFonts w:cs="Arial"/>
          <w:szCs w:val="20"/>
        </w:rPr>
        <w:t>;</w:t>
      </w:r>
    </w:p>
    <w:p w14:paraId="3AC1A5CB" w14:textId="77777777" w:rsidR="00B503C0" w:rsidRPr="000110B5" w:rsidRDefault="00B503C0" w:rsidP="00B503C0">
      <w:pPr>
        <w:pStyle w:val="ListParagraph"/>
        <w:numPr>
          <w:ilvl w:val="2"/>
          <w:numId w:val="16"/>
        </w:numPr>
        <w:jc w:val="both"/>
        <w:rPr>
          <w:rFonts w:cs="Arial"/>
          <w:szCs w:val="20"/>
        </w:rPr>
      </w:pPr>
      <w:r w:rsidRPr="000110B5">
        <w:rPr>
          <w:rFonts w:cs="Arial"/>
          <w:szCs w:val="20"/>
        </w:rPr>
        <w:t>Documented trial period of preferred agents</w:t>
      </w:r>
      <w:r>
        <w:rPr>
          <w:rFonts w:cs="Arial"/>
          <w:szCs w:val="20"/>
        </w:rPr>
        <w:t>;</w:t>
      </w:r>
      <w:r w:rsidRPr="000110B5">
        <w:rPr>
          <w:rFonts w:cs="Arial"/>
          <w:szCs w:val="20"/>
        </w:rPr>
        <w:t xml:space="preserve"> </w:t>
      </w:r>
      <w:r w:rsidRPr="000110B5">
        <w:rPr>
          <w:rFonts w:cs="Arial"/>
          <w:b/>
          <w:bCs/>
          <w:szCs w:val="20"/>
        </w:rPr>
        <w:t>OR</w:t>
      </w:r>
    </w:p>
    <w:p w14:paraId="32022FD8" w14:textId="77777777" w:rsidR="00B503C0" w:rsidRPr="00B8580D" w:rsidRDefault="00B503C0" w:rsidP="00B503C0">
      <w:pPr>
        <w:pStyle w:val="ListParagraph"/>
        <w:numPr>
          <w:ilvl w:val="2"/>
          <w:numId w:val="16"/>
        </w:numPr>
        <w:jc w:val="both"/>
        <w:rPr>
          <w:rFonts w:cs="Arial"/>
          <w:szCs w:val="20"/>
        </w:rPr>
      </w:pPr>
      <w:r w:rsidRPr="000110B5">
        <w:rPr>
          <w:rFonts w:cs="Arial"/>
          <w:szCs w:val="20"/>
        </w:rPr>
        <w:t>Documented ADE/ADR to preferred agents</w:t>
      </w:r>
    </w:p>
    <w:p w14:paraId="18F235CE" w14:textId="77777777" w:rsidR="00B503C0" w:rsidRPr="000110B5" w:rsidRDefault="00B503C0" w:rsidP="00B503C0">
      <w:pPr>
        <w:pStyle w:val="ListParagraph"/>
        <w:numPr>
          <w:ilvl w:val="0"/>
          <w:numId w:val="16"/>
        </w:numPr>
        <w:jc w:val="both"/>
        <w:rPr>
          <w:rFonts w:cs="Arial"/>
          <w:szCs w:val="20"/>
        </w:rPr>
      </w:pPr>
      <w:r>
        <w:rPr>
          <w:rFonts w:cs="Arial"/>
          <w:szCs w:val="20"/>
        </w:rPr>
        <w:t>Additional approval criteria for</w:t>
      </w:r>
      <w:r w:rsidRPr="000110B5">
        <w:rPr>
          <w:rFonts w:cs="Arial"/>
          <w:szCs w:val="20"/>
        </w:rPr>
        <w:t xml:space="preserve"> Epidiolex:</w:t>
      </w:r>
    </w:p>
    <w:p w14:paraId="1F06EC7D" w14:textId="69351851" w:rsidR="00B503C0" w:rsidRPr="000110B5" w:rsidRDefault="00B503C0" w:rsidP="00B503C0">
      <w:pPr>
        <w:pStyle w:val="ListParagraph"/>
        <w:numPr>
          <w:ilvl w:val="1"/>
          <w:numId w:val="16"/>
        </w:numPr>
        <w:ind w:left="720"/>
        <w:rPr>
          <w:rFonts w:cs="Arial"/>
        </w:rPr>
      </w:pPr>
      <w:r w:rsidRPr="000110B5">
        <w:rPr>
          <w:rFonts w:cs="Arial"/>
        </w:rPr>
        <w:t xml:space="preserve">Documented diagnosis of Dravet syndrome, Lennox-Gastaut syndrome (LGS), or </w:t>
      </w:r>
      <w:r>
        <w:rPr>
          <w:rFonts w:cs="Arial"/>
        </w:rPr>
        <w:t>t</w:t>
      </w:r>
      <w:r w:rsidRPr="000110B5">
        <w:rPr>
          <w:rFonts w:cs="Arial"/>
        </w:rPr>
        <w:t>uberous sclerosis complex (TSC)</w:t>
      </w:r>
      <w:r>
        <w:rPr>
          <w:rFonts w:cs="Arial"/>
        </w:rPr>
        <w:t>;</w:t>
      </w:r>
      <w:r w:rsidRPr="000110B5">
        <w:rPr>
          <w:rFonts w:cs="Arial"/>
        </w:rPr>
        <w:t xml:space="preserve"> </w:t>
      </w:r>
      <w:r w:rsidRPr="007F2CDA">
        <w:rPr>
          <w:rFonts w:cs="Arial"/>
          <w:b/>
          <w:bCs/>
          <w:color w:val="1F497D" w:themeColor="text2"/>
        </w:rPr>
        <w:t>OR</w:t>
      </w:r>
    </w:p>
    <w:p w14:paraId="67AB4A47" w14:textId="77777777" w:rsidR="00B503C0" w:rsidRPr="00612905" w:rsidRDefault="00B503C0" w:rsidP="1AC235A1">
      <w:pPr>
        <w:pStyle w:val="ListParagraph"/>
        <w:ind w:left="720"/>
        <w:rPr>
          <w:rFonts w:cs="Arial"/>
        </w:rPr>
      </w:pPr>
      <w:r w:rsidRPr="000110B5">
        <w:rPr>
          <w:rFonts w:cs="Arial"/>
        </w:rPr>
        <w:t>Trial of 2 or more anti-epileptic agents (includes clobazam, clonazepam, felbamate, lamotrigine</w:t>
      </w:r>
      <w:r>
        <w:rPr>
          <w:rFonts w:cs="Arial"/>
        </w:rPr>
        <w:t>,</w:t>
      </w:r>
      <w:r w:rsidRPr="00C97887">
        <w:rPr>
          <w:rFonts w:cs="Arial"/>
        </w:rPr>
        <w:t xml:space="preserve"> </w:t>
      </w:r>
      <w:r w:rsidRPr="007F2CDA">
        <w:rPr>
          <w:rFonts w:cs="Arial"/>
          <w:b/>
          <w:bCs/>
          <w:color w:val="1F497D" w:themeColor="text2"/>
        </w:rPr>
        <w:t xml:space="preserve">stiripentol, lacosamide, levetiracetam, </w:t>
      </w:r>
      <w:r w:rsidRPr="000110B5">
        <w:rPr>
          <w:rFonts w:cs="Arial"/>
        </w:rPr>
        <w:t>rufinamide, topiramate, valproate derivatives, or vigabatrin)</w:t>
      </w:r>
    </w:p>
    <w:p w14:paraId="314D81F3" w14:textId="77777777" w:rsidR="00B503C0" w:rsidRDefault="00B503C0" w:rsidP="00B503C0">
      <w:pPr>
        <w:pStyle w:val="ListParagraph"/>
        <w:numPr>
          <w:ilvl w:val="0"/>
          <w:numId w:val="16"/>
        </w:numPr>
        <w:rPr>
          <w:rFonts w:cs="Arial"/>
          <w:szCs w:val="20"/>
        </w:rPr>
      </w:pPr>
      <w:r>
        <w:rPr>
          <w:rFonts w:cs="Arial"/>
          <w:szCs w:val="20"/>
        </w:rPr>
        <w:t>Additional approval criteria for</w:t>
      </w:r>
      <w:r w:rsidRPr="00B61AA1">
        <w:rPr>
          <w:rFonts w:cs="Arial"/>
          <w:szCs w:val="20"/>
        </w:rPr>
        <w:t xml:space="preserve"> Diacomit</w:t>
      </w:r>
      <w:r>
        <w:rPr>
          <w:rFonts w:cs="Arial"/>
          <w:szCs w:val="20"/>
        </w:rPr>
        <w:t>:</w:t>
      </w:r>
    </w:p>
    <w:p w14:paraId="057F204C" w14:textId="77777777" w:rsidR="00B503C0" w:rsidRDefault="00B503C0" w:rsidP="00B503C0">
      <w:pPr>
        <w:pStyle w:val="ListParagraph"/>
        <w:numPr>
          <w:ilvl w:val="1"/>
          <w:numId w:val="16"/>
        </w:numPr>
        <w:rPr>
          <w:rFonts w:cs="Arial"/>
          <w:szCs w:val="20"/>
        </w:rPr>
      </w:pPr>
      <w:r w:rsidRPr="002A4851">
        <w:rPr>
          <w:rFonts w:cs="Arial"/>
          <w:szCs w:val="20"/>
        </w:rPr>
        <w:t>Documented diagnosis of Dravet syndrome</w:t>
      </w:r>
      <w:r>
        <w:rPr>
          <w:rFonts w:cs="Arial"/>
          <w:szCs w:val="20"/>
        </w:rPr>
        <w:t xml:space="preserve">; </w:t>
      </w:r>
      <w:r w:rsidRPr="001B63AC">
        <w:rPr>
          <w:rFonts w:cs="Arial"/>
          <w:b/>
          <w:szCs w:val="20"/>
        </w:rPr>
        <w:t>AND</w:t>
      </w:r>
    </w:p>
    <w:p w14:paraId="7906AEFD" w14:textId="77777777" w:rsidR="00B503C0" w:rsidRPr="001B63AC" w:rsidRDefault="00B503C0" w:rsidP="00B503C0">
      <w:pPr>
        <w:numPr>
          <w:ilvl w:val="1"/>
          <w:numId w:val="16"/>
        </w:numPr>
        <w:rPr>
          <w:rFonts w:cs="Arial"/>
          <w:szCs w:val="20"/>
        </w:rPr>
      </w:pPr>
      <w:r w:rsidRPr="003F414C">
        <w:rPr>
          <w:rFonts w:cs="Arial"/>
          <w:noProof/>
          <w:szCs w:val="20"/>
        </w:rPr>
        <w:t>Documented therapeutic trial (defined as 30 days) of both valproate and clobazam</w:t>
      </w:r>
    </w:p>
    <w:p w14:paraId="107426A2" w14:textId="77777777" w:rsidR="00B503C0" w:rsidRPr="00B61AA1" w:rsidRDefault="00B503C0" w:rsidP="00B503C0">
      <w:pPr>
        <w:pStyle w:val="ListParagraph"/>
        <w:numPr>
          <w:ilvl w:val="0"/>
          <w:numId w:val="16"/>
        </w:numPr>
        <w:rPr>
          <w:rFonts w:cs="Arial"/>
          <w:b/>
          <w:bCs/>
          <w:szCs w:val="20"/>
        </w:rPr>
      </w:pPr>
      <w:r w:rsidRPr="00C523F1">
        <w:rPr>
          <w:rFonts w:cs="Arial"/>
          <w:szCs w:val="20"/>
        </w:rPr>
        <w:t xml:space="preserve">Additional approval criteria for </w:t>
      </w:r>
      <w:r w:rsidRPr="00B61AA1">
        <w:rPr>
          <w:rFonts w:cs="Arial"/>
          <w:szCs w:val="20"/>
        </w:rPr>
        <w:t>Fintepla:</w:t>
      </w:r>
    </w:p>
    <w:p w14:paraId="52FADF1B" w14:textId="77777777" w:rsidR="00B503C0" w:rsidRPr="001B63AC" w:rsidRDefault="00B503C0" w:rsidP="1AC235A1">
      <w:pPr>
        <w:pStyle w:val="ListParagraph"/>
        <w:rPr>
          <w:rFonts w:cs="Arial"/>
          <w:b/>
        </w:rPr>
      </w:pPr>
      <w:r w:rsidRPr="1AC235A1">
        <w:rPr>
          <w:rFonts w:cs="Arial"/>
        </w:rPr>
        <w:t xml:space="preserve">Participant aged 2 years or older; </w:t>
      </w:r>
    </w:p>
    <w:p w14:paraId="7D4DE8DE" w14:textId="77777777" w:rsidR="00B503C0" w:rsidRPr="00860333" w:rsidRDefault="00B503C0" w:rsidP="00B503C0">
      <w:pPr>
        <w:numPr>
          <w:ilvl w:val="1"/>
          <w:numId w:val="16"/>
        </w:numPr>
        <w:rPr>
          <w:rFonts w:cs="Arial"/>
          <w:noProof/>
          <w:szCs w:val="20"/>
        </w:rPr>
      </w:pPr>
      <w:r w:rsidRPr="003F414C">
        <w:rPr>
          <w:rFonts w:cs="Arial"/>
          <w:noProof/>
          <w:szCs w:val="20"/>
        </w:rPr>
        <w:t>Documented therapeutic trial (defined as 30 days) of both valproate and clobazam</w:t>
      </w:r>
      <w:r>
        <w:rPr>
          <w:rFonts w:cs="Arial"/>
          <w:noProof/>
          <w:szCs w:val="20"/>
        </w:rPr>
        <w:t xml:space="preserve">; </w:t>
      </w:r>
      <w:r w:rsidRPr="001B63AC">
        <w:rPr>
          <w:rFonts w:cs="Arial"/>
          <w:b/>
          <w:noProof/>
          <w:szCs w:val="20"/>
        </w:rPr>
        <w:t>AND</w:t>
      </w:r>
    </w:p>
    <w:p w14:paraId="30EB9997" w14:textId="77777777" w:rsidR="00B503C0" w:rsidRPr="001B63AC" w:rsidRDefault="00B503C0" w:rsidP="00B503C0">
      <w:pPr>
        <w:pStyle w:val="ListParagraph"/>
        <w:numPr>
          <w:ilvl w:val="1"/>
          <w:numId w:val="16"/>
        </w:numPr>
        <w:rPr>
          <w:rFonts w:cs="Arial"/>
          <w:bCs/>
          <w:szCs w:val="20"/>
        </w:rPr>
      </w:pPr>
      <w:r w:rsidRPr="001B63AC">
        <w:rPr>
          <w:rFonts w:cs="Arial"/>
          <w:bCs/>
          <w:szCs w:val="20"/>
        </w:rPr>
        <w:t>Must meet one of the following:</w:t>
      </w:r>
    </w:p>
    <w:p w14:paraId="597002F5" w14:textId="77777777" w:rsidR="00B503C0" w:rsidRPr="002264BF" w:rsidRDefault="00B503C0" w:rsidP="00B503C0">
      <w:pPr>
        <w:pStyle w:val="ListParagraph"/>
        <w:numPr>
          <w:ilvl w:val="2"/>
          <w:numId w:val="16"/>
        </w:numPr>
        <w:rPr>
          <w:rFonts w:cs="Arial"/>
          <w:szCs w:val="20"/>
        </w:rPr>
      </w:pPr>
      <w:r w:rsidRPr="002264BF">
        <w:rPr>
          <w:rFonts w:cs="Arial"/>
          <w:szCs w:val="20"/>
        </w:rPr>
        <w:t xml:space="preserve">Documented diagnosis of </w:t>
      </w:r>
      <w:r w:rsidRPr="002264BF">
        <w:rPr>
          <w:rFonts w:cs="Arial"/>
        </w:rPr>
        <w:t>Lennox-Gastaut syndrome (LGS)</w:t>
      </w:r>
      <w:r>
        <w:rPr>
          <w:rFonts w:cs="Arial"/>
        </w:rPr>
        <w:t>;</w:t>
      </w:r>
      <w:r w:rsidRPr="002264BF">
        <w:rPr>
          <w:rFonts w:cs="Arial"/>
        </w:rPr>
        <w:t xml:space="preserve"> </w:t>
      </w:r>
      <w:r w:rsidRPr="002264BF">
        <w:rPr>
          <w:rFonts w:cs="Arial"/>
          <w:b/>
          <w:bCs/>
        </w:rPr>
        <w:t>OR</w:t>
      </w:r>
    </w:p>
    <w:p w14:paraId="392E4752" w14:textId="77777777" w:rsidR="00B503C0" w:rsidRPr="006C64E0" w:rsidRDefault="00B503C0" w:rsidP="00B503C0">
      <w:pPr>
        <w:pStyle w:val="ListParagraph"/>
        <w:numPr>
          <w:ilvl w:val="2"/>
          <w:numId w:val="16"/>
        </w:numPr>
        <w:rPr>
          <w:rFonts w:cs="Arial"/>
          <w:b/>
          <w:bCs/>
          <w:szCs w:val="20"/>
        </w:rPr>
      </w:pPr>
      <w:r w:rsidRPr="00B61AA1">
        <w:rPr>
          <w:rFonts w:cs="Arial"/>
          <w:bCs/>
          <w:szCs w:val="20"/>
        </w:rPr>
        <w:t xml:space="preserve">For documented diagnosis of Dravet syndrome: </w:t>
      </w:r>
    </w:p>
    <w:p w14:paraId="3F72F838" w14:textId="77777777" w:rsidR="00B503C0" w:rsidRPr="00CE2DB2" w:rsidRDefault="00B503C0" w:rsidP="00B503C0">
      <w:pPr>
        <w:pStyle w:val="ListParagraph"/>
        <w:numPr>
          <w:ilvl w:val="3"/>
          <w:numId w:val="16"/>
        </w:numPr>
        <w:rPr>
          <w:rFonts w:cs="Arial"/>
          <w:b/>
          <w:bCs/>
          <w:szCs w:val="20"/>
        </w:rPr>
      </w:pPr>
      <w:r w:rsidRPr="00B61AA1">
        <w:rPr>
          <w:rFonts w:cs="Arial"/>
          <w:szCs w:val="20"/>
        </w:rPr>
        <w:t>Documented therapeutic trial of Diacomit (defined as 30 days)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3975D0D9" w14:textId="77777777" w:rsidR="00BB7F6B" w:rsidRDefault="00BB7F6B" w:rsidP="00BB7F6B">
      <w:pPr>
        <w:numPr>
          <w:ilvl w:val="0"/>
          <w:numId w:val="18"/>
        </w:numPr>
        <w:rPr>
          <w:rFonts w:cs="Arial"/>
          <w:szCs w:val="20"/>
        </w:rPr>
      </w:pPr>
      <w:r>
        <w:rPr>
          <w:rFonts w:cs="Arial"/>
          <w:szCs w:val="20"/>
        </w:rPr>
        <w:t>Therapy will deny with presence of one of the following:</w:t>
      </w:r>
    </w:p>
    <w:p w14:paraId="77D9DBF0" w14:textId="77777777" w:rsidR="00BB7F6B" w:rsidRDefault="00BB7F6B" w:rsidP="00BB7F6B">
      <w:pPr>
        <w:numPr>
          <w:ilvl w:val="1"/>
          <w:numId w:val="18"/>
        </w:numPr>
        <w:rPr>
          <w:rFonts w:cs="Arial"/>
          <w:szCs w:val="20"/>
        </w:rPr>
      </w:pPr>
      <w:r>
        <w:rPr>
          <w:rFonts w:cs="Arial"/>
          <w:noProof/>
          <w:szCs w:val="20"/>
        </w:rPr>
        <w:t>Any</w:t>
      </w:r>
      <w:r w:rsidRPr="00384E3E">
        <w:rPr>
          <w:rFonts w:cs="Arial"/>
          <w:noProof/>
          <w:szCs w:val="20"/>
        </w:rPr>
        <w:t xml:space="preserve"> approval criteria are not me</w:t>
      </w:r>
      <w:r>
        <w:rPr>
          <w:rFonts w:cs="Arial"/>
          <w:noProof/>
          <w:szCs w:val="20"/>
        </w:rPr>
        <w:t>t.</w:t>
      </w:r>
    </w:p>
    <w:p w14:paraId="7BD76E7C" w14:textId="77777777" w:rsidR="00BB7F6B" w:rsidRPr="00A1391A" w:rsidRDefault="00BB7F6B" w:rsidP="00BB7F6B">
      <w:pPr>
        <w:numPr>
          <w:ilvl w:val="1"/>
          <w:numId w:val="18"/>
        </w:numPr>
        <w:rPr>
          <w:rFonts w:cs="Arial"/>
          <w:szCs w:val="20"/>
        </w:rPr>
      </w:pPr>
      <w:r w:rsidRPr="00A1391A">
        <w:rPr>
          <w:rFonts w:cs="Arial"/>
          <w:szCs w:val="20"/>
        </w:rPr>
        <w:t>Additional denial criteria for Diacomit:</w:t>
      </w:r>
    </w:p>
    <w:p w14:paraId="12B68542" w14:textId="77777777" w:rsidR="00BB7F6B" w:rsidRPr="00EB0C80" w:rsidRDefault="00BB7F6B" w:rsidP="00BB7F6B">
      <w:pPr>
        <w:numPr>
          <w:ilvl w:val="1"/>
          <w:numId w:val="20"/>
        </w:numPr>
        <w:rPr>
          <w:rFonts w:cs="Arial"/>
          <w:noProof/>
          <w:szCs w:val="20"/>
        </w:rPr>
      </w:pPr>
      <w:r w:rsidRPr="00EB0C80">
        <w:rPr>
          <w:rFonts w:cs="Arial"/>
          <w:szCs w:val="20"/>
        </w:rPr>
        <w:t>Documentation of moderate to severe hepatic or renal impairment</w:t>
      </w:r>
      <w:r>
        <w:rPr>
          <w:rFonts w:cs="Arial"/>
          <w:szCs w:val="20"/>
        </w:rPr>
        <w:t>.</w:t>
      </w:r>
    </w:p>
    <w:p w14:paraId="7F22F257" w14:textId="77777777" w:rsidR="00BB7F6B" w:rsidRDefault="00BB7F6B" w:rsidP="00BB7F6B">
      <w:pPr>
        <w:numPr>
          <w:ilvl w:val="0"/>
          <w:numId w:val="20"/>
        </w:numPr>
        <w:rPr>
          <w:rFonts w:cs="Arial"/>
          <w:noProof/>
          <w:szCs w:val="20"/>
        </w:rPr>
      </w:pPr>
      <w:r w:rsidRPr="00C87F0C">
        <w:rPr>
          <w:rFonts w:cs="Arial"/>
          <w:noProof/>
          <w:szCs w:val="20"/>
        </w:rPr>
        <w:t xml:space="preserve">Additional denial criteria </w:t>
      </w:r>
      <w:r>
        <w:rPr>
          <w:rFonts w:cs="Arial"/>
          <w:noProof/>
          <w:szCs w:val="20"/>
        </w:rPr>
        <w:t xml:space="preserve">for </w:t>
      </w:r>
      <w:r w:rsidRPr="00B61AA1">
        <w:rPr>
          <w:rFonts w:cs="Arial"/>
          <w:noProof/>
          <w:szCs w:val="20"/>
        </w:rPr>
        <w:t>Fintepla:</w:t>
      </w:r>
    </w:p>
    <w:p w14:paraId="7AB7EABD" w14:textId="77777777" w:rsidR="00BB7F6B" w:rsidRPr="00933061" w:rsidRDefault="00BB7F6B" w:rsidP="00BB7F6B">
      <w:pPr>
        <w:numPr>
          <w:ilvl w:val="1"/>
          <w:numId w:val="20"/>
        </w:numPr>
        <w:rPr>
          <w:rFonts w:cs="Arial"/>
          <w:noProof/>
          <w:szCs w:val="20"/>
        </w:rPr>
      </w:pPr>
      <w:r w:rsidRPr="00933061">
        <w:rPr>
          <w:rFonts w:cs="Arial"/>
          <w:szCs w:val="20"/>
        </w:rPr>
        <w:t>Documentation of moderate to severe hepatic impairment, with concomitant use of stiripentol plus clobazam;</w:t>
      </w:r>
    </w:p>
    <w:p w14:paraId="7CB54DAA" w14:textId="77777777" w:rsidR="00BB7F6B" w:rsidRPr="00B61AA1" w:rsidRDefault="00BB7F6B" w:rsidP="00BB7F6B">
      <w:pPr>
        <w:numPr>
          <w:ilvl w:val="1"/>
          <w:numId w:val="20"/>
        </w:numPr>
        <w:rPr>
          <w:rFonts w:cs="Arial"/>
          <w:noProof/>
          <w:szCs w:val="20"/>
        </w:rPr>
      </w:pPr>
      <w:r w:rsidRPr="00B61AA1">
        <w:rPr>
          <w:rFonts w:cs="Arial"/>
          <w:noProof/>
          <w:szCs w:val="20"/>
        </w:rPr>
        <w:t>Documented history of MAOI therapy in the past 45 days</w:t>
      </w:r>
      <w:r>
        <w:rPr>
          <w:rFonts w:cs="Arial"/>
          <w:noProof/>
          <w:szCs w:val="20"/>
        </w:rPr>
        <w:t xml:space="preserve">; </w:t>
      </w:r>
      <w:r w:rsidRPr="00F930F2">
        <w:rPr>
          <w:rFonts w:cs="Arial"/>
          <w:b/>
          <w:bCs/>
          <w:noProof/>
          <w:szCs w:val="20"/>
        </w:rPr>
        <w:t>OR</w:t>
      </w:r>
    </w:p>
    <w:p w14:paraId="52718072" w14:textId="77777777" w:rsidR="00BB7F6B" w:rsidRDefault="00BB7F6B" w:rsidP="00BB7F6B">
      <w:pPr>
        <w:pStyle w:val="ListParagraph"/>
        <w:numPr>
          <w:ilvl w:val="0"/>
          <w:numId w:val="20"/>
        </w:numPr>
        <w:rPr>
          <w:rFonts w:cs="Arial"/>
          <w:noProof/>
          <w:szCs w:val="20"/>
        </w:rPr>
      </w:pPr>
      <w:r>
        <w:rPr>
          <w:rFonts w:cs="Arial"/>
          <w:noProof/>
          <w:szCs w:val="20"/>
        </w:rPr>
        <w:t>Claim exceeds quantity limitations:</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890"/>
        <w:gridCol w:w="4140"/>
      </w:tblGrid>
      <w:tr w:rsidR="00BB7F6B" w:rsidRPr="00205F1C" w14:paraId="2A57E23B" w14:textId="77777777" w:rsidTr="00E042E3">
        <w:trPr>
          <w:jc w:val="center"/>
        </w:trPr>
        <w:tc>
          <w:tcPr>
            <w:tcW w:w="3505" w:type="dxa"/>
            <w:shd w:val="clear" w:color="auto" w:fill="FABF8F" w:themeFill="accent6" w:themeFillTint="99"/>
            <w:vAlign w:val="bottom"/>
          </w:tcPr>
          <w:p w14:paraId="675981D5" w14:textId="77777777" w:rsidR="00BB7F6B" w:rsidRPr="00205F1C" w:rsidRDefault="00BB7F6B" w:rsidP="00E042E3">
            <w:pPr>
              <w:rPr>
                <w:rFonts w:cs="Arial"/>
                <w:sz w:val="18"/>
                <w:szCs w:val="18"/>
              </w:rPr>
            </w:pPr>
            <w:r w:rsidRPr="00205F1C">
              <w:rPr>
                <w:rFonts w:cs="Arial"/>
                <w:b/>
                <w:sz w:val="18"/>
                <w:szCs w:val="18"/>
              </w:rPr>
              <w:t>Drug Description</w:t>
            </w:r>
          </w:p>
        </w:tc>
        <w:tc>
          <w:tcPr>
            <w:tcW w:w="1890" w:type="dxa"/>
            <w:shd w:val="clear" w:color="auto" w:fill="FABF8F" w:themeFill="accent6" w:themeFillTint="99"/>
            <w:vAlign w:val="bottom"/>
          </w:tcPr>
          <w:p w14:paraId="6FD6C236" w14:textId="77777777" w:rsidR="00BB7F6B" w:rsidRPr="00205F1C" w:rsidRDefault="00BB7F6B" w:rsidP="00E042E3">
            <w:pPr>
              <w:rPr>
                <w:rFonts w:cs="Arial"/>
                <w:sz w:val="18"/>
                <w:szCs w:val="18"/>
              </w:rPr>
            </w:pPr>
            <w:r w:rsidRPr="00205F1C">
              <w:rPr>
                <w:rFonts w:cs="Arial"/>
                <w:b/>
                <w:sz w:val="18"/>
                <w:szCs w:val="18"/>
              </w:rPr>
              <w:t>Generic Equivalent</w:t>
            </w:r>
          </w:p>
        </w:tc>
        <w:tc>
          <w:tcPr>
            <w:tcW w:w="4140" w:type="dxa"/>
            <w:shd w:val="clear" w:color="auto" w:fill="FABF8F" w:themeFill="accent6" w:themeFillTint="99"/>
          </w:tcPr>
          <w:p w14:paraId="1CE578CC" w14:textId="77777777" w:rsidR="00BB7F6B" w:rsidRPr="00205F1C" w:rsidRDefault="00BB7F6B" w:rsidP="00E042E3">
            <w:pPr>
              <w:rPr>
                <w:rFonts w:cs="Arial"/>
                <w:b/>
                <w:sz w:val="18"/>
                <w:szCs w:val="18"/>
              </w:rPr>
            </w:pPr>
            <w:r w:rsidRPr="00205F1C">
              <w:rPr>
                <w:rFonts w:cs="Arial"/>
                <w:b/>
                <w:sz w:val="18"/>
                <w:szCs w:val="18"/>
              </w:rPr>
              <w:t>Max Dosing Limitation</w:t>
            </w:r>
          </w:p>
        </w:tc>
      </w:tr>
      <w:tr w:rsidR="00BB7F6B" w:rsidRPr="00205F1C" w14:paraId="34EBB90A" w14:textId="77777777" w:rsidTr="00E042E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ECD26" w14:textId="77777777" w:rsidR="00BB7F6B" w:rsidRPr="00205F1C" w:rsidRDefault="00BB7F6B" w:rsidP="00E042E3">
            <w:pPr>
              <w:rPr>
                <w:rFonts w:cs="Arial"/>
                <w:caps/>
                <w:sz w:val="18"/>
                <w:szCs w:val="18"/>
              </w:rPr>
            </w:pPr>
            <w:r w:rsidRPr="00205F1C">
              <w:rPr>
                <w:rFonts w:cs="Arial"/>
                <w:caps/>
                <w:sz w:val="18"/>
                <w:szCs w:val="18"/>
              </w:rPr>
              <w:t>DIACOMIT 250 mg capsule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EADE" w14:textId="77777777" w:rsidR="00BB7F6B" w:rsidRPr="00205F1C" w:rsidRDefault="00BB7F6B" w:rsidP="00E042E3">
            <w:pPr>
              <w:rPr>
                <w:rFonts w:cs="Arial"/>
                <w:caps/>
                <w:sz w:val="18"/>
                <w:szCs w:val="18"/>
              </w:rPr>
            </w:pPr>
            <w:r w:rsidRPr="00205F1C">
              <w:rPr>
                <w:rFonts w:cs="Arial"/>
                <w:caps/>
                <w:spacing w:val="-3"/>
                <w:sz w:val="18"/>
                <w:szCs w:val="18"/>
              </w:rPr>
              <w:t>stiripentol</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F2C1A" w14:textId="77777777" w:rsidR="00BB7F6B" w:rsidRPr="00205F1C" w:rsidRDefault="00BB7F6B" w:rsidP="00E042E3">
            <w:pPr>
              <w:rPr>
                <w:rFonts w:cs="Arial"/>
                <w:sz w:val="18"/>
                <w:szCs w:val="18"/>
              </w:rPr>
            </w:pPr>
            <w:r w:rsidRPr="00205F1C">
              <w:rPr>
                <w:rFonts w:cs="Arial"/>
                <w:sz w:val="18"/>
                <w:szCs w:val="18"/>
              </w:rPr>
              <w:t>12 capsules per day</w:t>
            </w:r>
          </w:p>
        </w:tc>
      </w:tr>
      <w:tr w:rsidR="00BB7F6B" w:rsidRPr="00205F1C" w14:paraId="4BE9573A" w14:textId="77777777" w:rsidTr="00E042E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67512" w14:textId="77777777" w:rsidR="00BB7F6B" w:rsidRPr="00205F1C" w:rsidRDefault="00BB7F6B" w:rsidP="00E042E3">
            <w:pPr>
              <w:rPr>
                <w:rFonts w:cs="Arial"/>
                <w:caps/>
                <w:sz w:val="18"/>
                <w:szCs w:val="18"/>
              </w:rPr>
            </w:pPr>
            <w:r w:rsidRPr="00205F1C">
              <w:rPr>
                <w:rFonts w:cs="Arial"/>
                <w:caps/>
                <w:sz w:val="18"/>
                <w:szCs w:val="18"/>
              </w:rPr>
              <w:t>diacomit 250 mg powder packet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61579" w14:textId="77777777" w:rsidR="00BB7F6B" w:rsidRPr="00205F1C" w:rsidRDefault="00BB7F6B" w:rsidP="00E042E3">
            <w:pPr>
              <w:rPr>
                <w:rFonts w:cs="Arial"/>
                <w:caps/>
                <w:spacing w:val="-3"/>
                <w:sz w:val="18"/>
                <w:szCs w:val="18"/>
              </w:rPr>
            </w:pPr>
            <w:r w:rsidRPr="00205F1C">
              <w:rPr>
                <w:rFonts w:cs="Arial"/>
                <w:caps/>
                <w:spacing w:val="-3"/>
                <w:sz w:val="18"/>
                <w:szCs w:val="18"/>
              </w:rPr>
              <w:t>stiripentol</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F5285F1" w14:textId="77777777" w:rsidR="00BB7F6B" w:rsidRPr="00205F1C" w:rsidRDefault="00BB7F6B" w:rsidP="00E042E3">
            <w:pPr>
              <w:rPr>
                <w:rFonts w:cs="Arial"/>
                <w:sz w:val="18"/>
                <w:szCs w:val="18"/>
              </w:rPr>
            </w:pPr>
            <w:r w:rsidRPr="00205F1C">
              <w:rPr>
                <w:rFonts w:cs="Arial"/>
                <w:sz w:val="18"/>
                <w:szCs w:val="18"/>
              </w:rPr>
              <w:t>12 packets per day</w:t>
            </w:r>
          </w:p>
        </w:tc>
      </w:tr>
      <w:tr w:rsidR="00BB7F6B" w:rsidRPr="00205F1C" w14:paraId="381B87AE" w14:textId="77777777" w:rsidTr="00E042E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41C78" w14:textId="77777777" w:rsidR="00BB7F6B" w:rsidRPr="00205F1C" w:rsidRDefault="00BB7F6B" w:rsidP="00E042E3">
            <w:pPr>
              <w:rPr>
                <w:rFonts w:cs="Arial"/>
                <w:caps/>
                <w:sz w:val="18"/>
                <w:szCs w:val="18"/>
              </w:rPr>
            </w:pPr>
            <w:r w:rsidRPr="00205F1C">
              <w:rPr>
                <w:rFonts w:cs="Arial"/>
                <w:caps/>
                <w:sz w:val="18"/>
                <w:szCs w:val="18"/>
              </w:rPr>
              <w:t>DIACOMIT 500 mg capsule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FD9C" w14:textId="77777777" w:rsidR="00BB7F6B" w:rsidRPr="00205F1C" w:rsidRDefault="00BB7F6B" w:rsidP="00E042E3">
            <w:pPr>
              <w:rPr>
                <w:rFonts w:cs="Arial"/>
                <w:caps/>
                <w:sz w:val="18"/>
                <w:szCs w:val="18"/>
              </w:rPr>
            </w:pPr>
            <w:r w:rsidRPr="00205F1C">
              <w:rPr>
                <w:rFonts w:cs="Arial"/>
                <w:caps/>
                <w:spacing w:val="-3"/>
                <w:sz w:val="18"/>
                <w:szCs w:val="18"/>
              </w:rPr>
              <w:t>stiripentol</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8023797" w14:textId="77777777" w:rsidR="00BB7F6B" w:rsidRPr="00205F1C" w:rsidRDefault="00BB7F6B" w:rsidP="00E042E3">
            <w:pPr>
              <w:rPr>
                <w:rFonts w:cs="Arial"/>
                <w:sz w:val="18"/>
                <w:szCs w:val="18"/>
              </w:rPr>
            </w:pPr>
            <w:r w:rsidRPr="00205F1C">
              <w:rPr>
                <w:rFonts w:cs="Arial"/>
                <w:sz w:val="18"/>
                <w:szCs w:val="18"/>
              </w:rPr>
              <w:t>6 capsules per day</w:t>
            </w:r>
          </w:p>
        </w:tc>
      </w:tr>
      <w:tr w:rsidR="00BB7F6B" w:rsidRPr="00205F1C" w14:paraId="7123EB93" w14:textId="77777777" w:rsidTr="00E042E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0E04D" w14:textId="77777777" w:rsidR="00BB7F6B" w:rsidRPr="00205F1C" w:rsidRDefault="00BB7F6B" w:rsidP="00E042E3">
            <w:pPr>
              <w:rPr>
                <w:rFonts w:cs="Arial"/>
                <w:caps/>
                <w:sz w:val="18"/>
                <w:szCs w:val="18"/>
              </w:rPr>
            </w:pPr>
            <w:r w:rsidRPr="00205F1C">
              <w:rPr>
                <w:rFonts w:cs="Arial"/>
                <w:caps/>
                <w:sz w:val="18"/>
                <w:szCs w:val="18"/>
              </w:rPr>
              <w:t>diacomit 500 mg powder packet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9A564" w14:textId="77777777" w:rsidR="00BB7F6B" w:rsidRPr="00205F1C" w:rsidRDefault="00BB7F6B" w:rsidP="00E042E3">
            <w:pPr>
              <w:rPr>
                <w:rFonts w:cs="Arial"/>
                <w:caps/>
                <w:sz w:val="18"/>
                <w:szCs w:val="18"/>
              </w:rPr>
            </w:pPr>
            <w:r w:rsidRPr="00205F1C">
              <w:rPr>
                <w:rFonts w:cs="Arial"/>
                <w:caps/>
                <w:spacing w:val="-3"/>
                <w:sz w:val="18"/>
                <w:szCs w:val="18"/>
              </w:rPr>
              <w:t>stiripentol</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AC8BD" w14:textId="77777777" w:rsidR="00BB7F6B" w:rsidRPr="00205F1C" w:rsidRDefault="00BB7F6B" w:rsidP="00E042E3">
            <w:pPr>
              <w:rPr>
                <w:rFonts w:cs="Arial"/>
                <w:sz w:val="18"/>
                <w:szCs w:val="18"/>
              </w:rPr>
            </w:pPr>
            <w:r w:rsidRPr="00205F1C">
              <w:rPr>
                <w:rFonts w:cs="Arial"/>
                <w:sz w:val="18"/>
                <w:szCs w:val="18"/>
              </w:rPr>
              <w:t>6 packets per day</w:t>
            </w:r>
          </w:p>
        </w:tc>
      </w:tr>
      <w:tr w:rsidR="00BB7F6B" w:rsidRPr="00205F1C" w14:paraId="0F243CA2" w14:textId="77777777" w:rsidTr="00E042E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15C58" w14:textId="77777777" w:rsidR="00BB7F6B" w:rsidRPr="00205F1C" w:rsidRDefault="00BB7F6B" w:rsidP="00E042E3">
            <w:pPr>
              <w:rPr>
                <w:rFonts w:cs="Arial"/>
                <w:caps/>
                <w:sz w:val="18"/>
                <w:szCs w:val="18"/>
              </w:rPr>
            </w:pPr>
            <w:r w:rsidRPr="00205F1C">
              <w:rPr>
                <w:rFonts w:cs="Arial"/>
                <w:caps/>
                <w:sz w:val="18"/>
                <w:szCs w:val="18"/>
              </w:rPr>
              <w:t>EPIDIOLEX 100 mg/ml solution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04BD9" w14:textId="77777777" w:rsidR="00BB7F6B" w:rsidRPr="00205F1C" w:rsidRDefault="00BB7F6B" w:rsidP="00E042E3">
            <w:pPr>
              <w:rPr>
                <w:rFonts w:cs="Arial"/>
                <w:caps/>
                <w:sz w:val="18"/>
                <w:szCs w:val="18"/>
              </w:rPr>
            </w:pPr>
            <w:r w:rsidRPr="00205F1C">
              <w:rPr>
                <w:rFonts w:cs="Arial"/>
                <w:caps/>
                <w:sz w:val="18"/>
                <w:szCs w:val="18"/>
              </w:rPr>
              <w:t>CANNABIDIOL</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AA04C" w14:textId="520F6B0B" w:rsidR="00BB7F6B" w:rsidRPr="001E6251" w:rsidRDefault="00BB7F6B" w:rsidP="00E042E3">
            <w:pPr>
              <w:rPr>
                <w:rFonts w:cs="Arial"/>
                <w:sz w:val="18"/>
                <w:szCs w:val="18"/>
              </w:rPr>
            </w:pPr>
            <w:r w:rsidRPr="001E6251">
              <w:rPr>
                <w:rFonts w:cs="Arial"/>
                <w:sz w:val="18"/>
                <w:szCs w:val="18"/>
              </w:rPr>
              <w:t>300 mL per fill</w:t>
            </w:r>
          </w:p>
        </w:tc>
      </w:tr>
      <w:tr w:rsidR="00BB7F6B" w:rsidRPr="00205F1C" w14:paraId="5D20DD56" w14:textId="77777777" w:rsidTr="00E042E3">
        <w:trPr>
          <w:trHeight w:val="458"/>
          <w:jc w:val="center"/>
        </w:trPr>
        <w:tc>
          <w:tcPr>
            <w:tcW w:w="3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6CF17" w14:textId="77777777" w:rsidR="00BB7F6B" w:rsidRPr="00205F1C" w:rsidRDefault="00BB7F6B" w:rsidP="00E042E3">
            <w:pPr>
              <w:rPr>
                <w:rFonts w:cs="Arial"/>
                <w:caps/>
                <w:sz w:val="18"/>
                <w:szCs w:val="18"/>
              </w:rPr>
            </w:pPr>
            <w:r w:rsidRPr="00205F1C">
              <w:rPr>
                <w:rFonts w:cs="Arial"/>
                <w:caps/>
                <w:sz w:val="18"/>
                <w:szCs w:val="18"/>
              </w:rPr>
              <w:t>FInTEPLA 2.2 mg/mL solution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A70E" w14:textId="77777777" w:rsidR="00BB7F6B" w:rsidRPr="00205F1C" w:rsidRDefault="00BB7F6B" w:rsidP="00E042E3">
            <w:pPr>
              <w:rPr>
                <w:rFonts w:cs="Arial"/>
                <w:caps/>
                <w:sz w:val="18"/>
                <w:szCs w:val="18"/>
              </w:rPr>
            </w:pPr>
            <w:r w:rsidRPr="00205F1C">
              <w:rPr>
                <w:rFonts w:cs="Arial"/>
                <w:caps/>
                <w:sz w:val="18"/>
                <w:szCs w:val="18"/>
              </w:rPr>
              <w:t>Fenfluramine</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1CAE1C" w14:textId="77777777" w:rsidR="00BB7F6B" w:rsidRPr="00205F1C" w:rsidRDefault="00BB7F6B" w:rsidP="00BB7F6B">
            <w:pPr>
              <w:pStyle w:val="ListParagraph"/>
              <w:numPr>
                <w:ilvl w:val="0"/>
                <w:numId w:val="19"/>
              </w:numPr>
              <w:ind w:left="238" w:hanging="238"/>
              <w:rPr>
                <w:rFonts w:cs="Arial"/>
                <w:bCs/>
                <w:sz w:val="18"/>
                <w:szCs w:val="18"/>
              </w:rPr>
            </w:pPr>
            <w:r w:rsidRPr="00205F1C">
              <w:rPr>
                <w:rFonts w:cs="Arial"/>
                <w:bCs/>
                <w:sz w:val="18"/>
                <w:szCs w:val="18"/>
              </w:rPr>
              <w:t>With concomitant Diacomit: 17 mg per day</w:t>
            </w:r>
          </w:p>
          <w:p w14:paraId="775042D5" w14:textId="77777777" w:rsidR="00BB7F6B" w:rsidRPr="00205F1C" w:rsidRDefault="00BB7F6B" w:rsidP="00BB7F6B">
            <w:pPr>
              <w:pStyle w:val="ListParagraph"/>
              <w:numPr>
                <w:ilvl w:val="0"/>
                <w:numId w:val="19"/>
              </w:numPr>
              <w:ind w:left="238" w:hanging="238"/>
              <w:rPr>
                <w:rFonts w:cs="Arial"/>
                <w:sz w:val="18"/>
                <w:szCs w:val="18"/>
              </w:rPr>
            </w:pPr>
            <w:r w:rsidRPr="00205F1C">
              <w:rPr>
                <w:rFonts w:cs="Arial"/>
                <w:bCs/>
                <w:sz w:val="18"/>
                <w:szCs w:val="18"/>
              </w:rPr>
              <w:t>Without concomitant Diacomit: 26 mg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1DECD33" w14:textId="77777777" w:rsidR="0092734A" w:rsidRPr="008F20D8" w:rsidRDefault="0092734A" w:rsidP="0092734A">
      <w:pPr>
        <w:pStyle w:val="ListParagraph"/>
      </w:pPr>
      <w:r w:rsidRPr="008F20D8">
        <w:t>Evidence-Based Medicine and Fiscal Analysis: “Therapeutic Class Review: CENTRAL NERVOUS SYSTEM: Anticonvulsants, Dravet Syndrome”, Gainwell Technologies; Last updated September 22, 2023.</w:t>
      </w:r>
    </w:p>
    <w:p w14:paraId="0B730861" w14:textId="1B6A1714" w:rsidR="0092734A" w:rsidRPr="004552E5" w:rsidRDefault="0092734A" w:rsidP="0092734A">
      <w:pPr>
        <w:pStyle w:val="ListParagraph"/>
      </w:pPr>
      <w:r w:rsidRPr="004552E5">
        <w:t>Evidence-Based Medicine Analysis: “Anticonvulsants</w:t>
      </w:r>
      <w:r w:rsidR="00994B8B">
        <w:t xml:space="preserve"> -</w:t>
      </w:r>
      <w:r w:rsidRPr="004552E5">
        <w:t xml:space="preserve"> Dravet Syndrome Agents”, UMKC-DIC; </w:t>
      </w:r>
      <w:r w:rsidR="00C8414F">
        <w:t>December</w:t>
      </w:r>
      <w:r w:rsidRPr="004552E5">
        <w:t xml:space="preserve"> 202</w:t>
      </w:r>
      <w:r w:rsidR="00045F6B">
        <w:t>5</w:t>
      </w:r>
      <w:r w:rsidRPr="004552E5">
        <w:t>.</w:t>
      </w:r>
    </w:p>
    <w:p w14:paraId="5715259D" w14:textId="77777777" w:rsidR="0092734A" w:rsidRPr="00205F1C" w:rsidRDefault="0092734A" w:rsidP="0092734A">
      <w:pPr>
        <w:pStyle w:val="ListParagraph"/>
      </w:pPr>
      <w:r w:rsidRPr="00205F1C">
        <w:lastRenderedPageBreak/>
        <w:t>Wirrell EC, Laux L, Donner E, et al. Optimizing the Diagnosis and Management of Dravet Syndrome: Recommendations From a North American Consensus Panel. Pediatr Neurol. 2017;68:18-34.e3. doi:10.1016/j.pediatrneurol.2017.01.025.</w:t>
      </w:r>
    </w:p>
    <w:p w14:paraId="6150D099" w14:textId="4428EBB4" w:rsidR="0092734A" w:rsidRPr="00205F1C" w:rsidRDefault="0092734A" w:rsidP="0092734A">
      <w:pPr>
        <w:pStyle w:val="ListParagraph"/>
      </w:pPr>
      <w:r w:rsidRPr="00205F1C">
        <w:t xml:space="preserve">Dravet Syndrome Foundation.  What is Dravet Syndrome? </w:t>
      </w:r>
      <w:hyperlink r:id="rId11" w:history="1">
        <w:r w:rsidRPr="00684F2E">
          <w:rPr>
            <w:rStyle w:val="Hyperlink"/>
            <w:rFonts w:cs="Arial"/>
            <w:color w:val="auto"/>
            <w:szCs w:val="20"/>
            <w:shd w:val="clear" w:color="auto" w:fill="FFFFFF"/>
          </w:rPr>
          <w:t>https://www.dravetfoundation.org/what-is-dravet-syndrome/</w:t>
        </w:r>
      </w:hyperlink>
      <w:r w:rsidRPr="00684F2E">
        <w:rPr>
          <w:shd w:val="clear" w:color="auto" w:fill="FFFFFF"/>
        </w:rPr>
        <w:t>.</w:t>
      </w:r>
      <w:r w:rsidRPr="00205F1C">
        <w:t xml:space="preserve">  Accessed </w:t>
      </w:r>
      <w:r>
        <w:t>November 20, 2023</w:t>
      </w:r>
      <w:r w:rsidRPr="00205F1C">
        <w:t>.</w:t>
      </w:r>
    </w:p>
    <w:p w14:paraId="745F723E" w14:textId="77777777" w:rsidR="0092734A" w:rsidRPr="00205F1C" w:rsidRDefault="0092734A" w:rsidP="0092734A">
      <w:pPr>
        <w:pStyle w:val="ListParagraph"/>
      </w:pPr>
      <w:r w:rsidRPr="00205F1C">
        <w:t xml:space="preserve">Children’s Hospital of Philadelphia. Dravet Syndrome. </w:t>
      </w:r>
      <w:hyperlink r:id="rId12" w:history="1">
        <w:r w:rsidRPr="00684F2E">
          <w:rPr>
            <w:rStyle w:val="Hyperlink"/>
            <w:rFonts w:cs="Arial"/>
            <w:color w:val="auto"/>
            <w:szCs w:val="20"/>
            <w:shd w:val="clear" w:color="auto" w:fill="FFFFFF"/>
          </w:rPr>
          <w:t>https://www.chop.edu/conditions-diseases/dravet-syndrome</w:t>
        </w:r>
      </w:hyperlink>
      <w:r w:rsidRPr="00684F2E">
        <w:rPr>
          <w:shd w:val="clear" w:color="auto" w:fill="FFFFFF"/>
        </w:rPr>
        <w:t>.</w:t>
      </w:r>
      <w:r w:rsidRPr="00205F1C">
        <w:t xml:space="preserve">  Accessed </w:t>
      </w:r>
      <w:r>
        <w:t>December 10, 2024.</w:t>
      </w:r>
    </w:p>
    <w:p w14:paraId="0CAEAD9C" w14:textId="77777777" w:rsidR="0092734A" w:rsidRPr="00205F1C" w:rsidRDefault="0092734A" w:rsidP="0092734A">
      <w:pPr>
        <w:pStyle w:val="ListParagraph"/>
      </w:pPr>
      <w:r w:rsidRPr="00205F1C">
        <w:t>IPD Analytics.  New Drug Review: Fintepla (fenfluramine) oral solution, CIV.  July 2020.</w:t>
      </w:r>
    </w:p>
    <w:p w14:paraId="24470188" w14:textId="77777777" w:rsidR="0092734A" w:rsidRPr="00205F1C" w:rsidRDefault="0092734A" w:rsidP="0092734A">
      <w:pPr>
        <w:pStyle w:val="ListParagraph"/>
      </w:pPr>
      <w:r w:rsidRPr="00205F1C">
        <w:t xml:space="preserve">Epidiolex (cannabidiol) [package insert]. Carlsbad, CA: Greenwich Biosciences, Inc.; </w:t>
      </w:r>
      <w:r>
        <w:t>March 2024.</w:t>
      </w:r>
    </w:p>
    <w:p w14:paraId="5312794D" w14:textId="77777777" w:rsidR="0092734A" w:rsidRPr="00205F1C" w:rsidRDefault="0092734A" w:rsidP="0092734A">
      <w:pPr>
        <w:pStyle w:val="ListParagraph"/>
      </w:pPr>
      <w:r w:rsidRPr="00205F1C">
        <w:t>Diacomit (stiripentol) [package insert]. Gentilly, France: Biocodex; July 2022.</w:t>
      </w:r>
    </w:p>
    <w:p w14:paraId="3FA1E7DB" w14:textId="06C44FF9" w:rsidR="00777CA4" w:rsidRDefault="0092734A" w:rsidP="0092734A">
      <w:pPr>
        <w:pStyle w:val="ListParagraph"/>
      </w:pPr>
      <w:r w:rsidRPr="00205F1C">
        <w:t xml:space="preserve">Fintepla (fenfluramine) [package insert]. Emeryville CA: Zogenix, Inc.; </w:t>
      </w:r>
      <w:r>
        <w:t>December 2023</w:t>
      </w:r>
      <w:r w:rsidR="00777CA4">
        <w:t>.</w:t>
      </w:r>
    </w:p>
    <w:sectPr w:rsidR="00777CA4" w:rsidSect="00AB0B9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593D" w14:textId="77777777" w:rsidR="00082159" w:rsidRPr="00C02553" w:rsidRDefault="00082159" w:rsidP="00AE77DB">
      <w:r w:rsidRPr="00C02553">
        <w:separator/>
      </w:r>
    </w:p>
  </w:endnote>
  <w:endnote w:type="continuationSeparator" w:id="0">
    <w:p w14:paraId="2F31FADB" w14:textId="77777777" w:rsidR="00082159" w:rsidRPr="00C02553" w:rsidRDefault="00082159" w:rsidP="00AE77DB">
      <w:r w:rsidRPr="00C02553">
        <w:continuationSeparator/>
      </w:r>
    </w:p>
  </w:endnote>
  <w:endnote w:type="continuationNotice" w:id="1">
    <w:p w14:paraId="39D39B86" w14:textId="77777777" w:rsidR="00082159" w:rsidRPr="00C02553" w:rsidRDefault="00082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A516" w14:textId="77777777" w:rsidR="00082159" w:rsidRPr="00C02553" w:rsidRDefault="00082159" w:rsidP="00AE77DB">
      <w:r w:rsidRPr="00C02553">
        <w:separator/>
      </w:r>
    </w:p>
  </w:footnote>
  <w:footnote w:type="continuationSeparator" w:id="0">
    <w:p w14:paraId="5C36FC49" w14:textId="77777777" w:rsidR="00082159" w:rsidRPr="00C02553" w:rsidRDefault="00082159" w:rsidP="00AE77DB">
      <w:r w:rsidRPr="00C02553">
        <w:continuationSeparator/>
      </w:r>
    </w:p>
  </w:footnote>
  <w:footnote w:type="continuationNotice" w:id="1">
    <w:p w14:paraId="015F91A7" w14:textId="77777777" w:rsidR="00082159" w:rsidRPr="00C02553" w:rsidRDefault="00082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000000">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000000">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7;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00000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81E75"/>
    <w:multiLevelType w:val="hybridMultilevel"/>
    <w:tmpl w:val="A126E0FE"/>
    <w:lvl w:ilvl="0" w:tplc="337C71B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153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636C39"/>
    <w:multiLevelType w:val="hybridMultilevel"/>
    <w:tmpl w:val="635E7732"/>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1E85B18"/>
    <w:multiLevelType w:val="hybridMultilevel"/>
    <w:tmpl w:val="7982CDD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997758B"/>
    <w:multiLevelType w:val="hybridMultilevel"/>
    <w:tmpl w:val="35AA03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AB55AF"/>
    <w:multiLevelType w:val="hybridMultilevel"/>
    <w:tmpl w:val="B402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1"/>
  </w:num>
  <w:num w:numId="10" w16cid:durableId="917518096">
    <w:abstractNumId w:val="10"/>
  </w:num>
  <w:num w:numId="11" w16cid:durableId="1894998475">
    <w:abstractNumId w:val="1"/>
  </w:num>
  <w:num w:numId="12" w16cid:durableId="1418215296">
    <w:abstractNumId w:val="17"/>
  </w:num>
  <w:num w:numId="13" w16cid:durableId="604729665">
    <w:abstractNumId w:val="6"/>
  </w:num>
  <w:num w:numId="14" w16cid:durableId="1805081292">
    <w:abstractNumId w:val="14"/>
  </w:num>
  <w:num w:numId="15" w16cid:durableId="1954555733">
    <w:abstractNumId w:val="5"/>
  </w:num>
  <w:num w:numId="16" w16cid:durableId="494876362">
    <w:abstractNumId w:val="7"/>
  </w:num>
  <w:num w:numId="17" w16cid:durableId="1391227594">
    <w:abstractNumId w:val="12"/>
  </w:num>
  <w:num w:numId="18" w16cid:durableId="440496585">
    <w:abstractNumId w:val="13"/>
  </w:num>
  <w:num w:numId="19" w16cid:durableId="767503172">
    <w:abstractNumId w:val="19"/>
  </w:num>
  <w:num w:numId="20" w16cid:durableId="427240509">
    <w:abstractNumId w:val="16"/>
  </w:num>
  <w:num w:numId="21" w16cid:durableId="125162449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68D"/>
    <w:rsid w:val="0000390A"/>
    <w:rsid w:val="0000457E"/>
    <w:rsid w:val="00006A61"/>
    <w:rsid w:val="000276D9"/>
    <w:rsid w:val="000344C5"/>
    <w:rsid w:val="00040AD3"/>
    <w:rsid w:val="00045F6B"/>
    <w:rsid w:val="00053807"/>
    <w:rsid w:val="000572E5"/>
    <w:rsid w:val="00057F84"/>
    <w:rsid w:val="00061541"/>
    <w:rsid w:val="00064162"/>
    <w:rsid w:val="00065C22"/>
    <w:rsid w:val="000706D0"/>
    <w:rsid w:val="00071421"/>
    <w:rsid w:val="00074464"/>
    <w:rsid w:val="00076030"/>
    <w:rsid w:val="00082159"/>
    <w:rsid w:val="00082590"/>
    <w:rsid w:val="000913C3"/>
    <w:rsid w:val="000953B9"/>
    <w:rsid w:val="000A413B"/>
    <w:rsid w:val="000A6279"/>
    <w:rsid w:val="000B496B"/>
    <w:rsid w:val="000C3940"/>
    <w:rsid w:val="000C5992"/>
    <w:rsid w:val="000E1479"/>
    <w:rsid w:val="000E231E"/>
    <w:rsid w:val="000E247D"/>
    <w:rsid w:val="000E6B14"/>
    <w:rsid w:val="000E70D8"/>
    <w:rsid w:val="000F31FE"/>
    <w:rsid w:val="001062F6"/>
    <w:rsid w:val="00112FC7"/>
    <w:rsid w:val="00125F5F"/>
    <w:rsid w:val="00126951"/>
    <w:rsid w:val="00126B60"/>
    <w:rsid w:val="00127EF6"/>
    <w:rsid w:val="001310AD"/>
    <w:rsid w:val="001314A5"/>
    <w:rsid w:val="00132C7F"/>
    <w:rsid w:val="00144DBE"/>
    <w:rsid w:val="00152C8B"/>
    <w:rsid w:val="0015636A"/>
    <w:rsid w:val="00157C8A"/>
    <w:rsid w:val="00172053"/>
    <w:rsid w:val="00177A80"/>
    <w:rsid w:val="001A50CB"/>
    <w:rsid w:val="001A74B7"/>
    <w:rsid w:val="001B2D47"/>
    <w:rsid w:val="001C0250"/>
    <w:rsid w:val="001C6DA4"/>
    <w:rsid w:val="001C73B1"/>
    <w:rsid w:val="001C7735"/>
    <w:rsid w:val="001D1E7D"/>
    <w:rsid w:val="001D6567"/>
    <w:rsid w:val="001E2CCB"/>
    <w:rsid w:val="001E4CBA"/>
    <w:rsid w:val="001E523C"/>
    <w:rsid w:val="001E61DF"/>
    <w:rsid w:val="001E6251"/>
    <w:rsid w:val="001F2B9F"/>
    <w:rsid w:val="001F5954"/>
    <w:rsid w:val="00202DD3"/>
    <w:rsid w:val="00206A4C"/>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A3738"/>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20C4"/>
    <w:rsid w:val="003355AC"/>
    <w:rsid w:val="00342B1E"/>
    <w:rsid w:val="00343D6B"/>
    <w:rsid w:val="00347FB5"/>
    <w:rsid w:val="00355515"/>
    <w:rsid w:val="003608B5"/>
    <w:rsid w:val="003613AF"/>
    <w:rsid w:val="00384156"/>
    <w:rsid w:val="003878C1"/>
    <w:rsid w:val="00396C0B"/>
    <w:rsid w:val="003A630F"/>
    <w:rsid w:val="003B3958"/>
    <w:rsid w:val="003B4820"/>
    <w:rsid w:val="003B4C6F"/>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175C"/>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B1774"/>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4248"/>
    <w:rsid w:val="00625C3A"/>
    <w:rsid w:val="00635DDB"/>
    <w:rsid w:val="0064149A"/>
    <w:rsid w:val="00646DFE"/>
    <w:rsid w:val="00650530"/>
    <w:rsid w:val="00650C96"/>
    <w:rsid w:val="00653788"/>
    <w:rsid w:val="0065477F"/>
    <w:rsid w:val="00656896"/>
    <w:rsid w:val="00661656"/>
    <w:rsid w:val="00661CDA"/>
    <w:rsid w:val="0066374F"/>
    <w:rsid w:val="00677C65"/>
    <w:rsid w:val="00677FD7"/>
    <w:rsid w:val="00693152"/>
    <w:rsid w:val="00694FAE"/>
    <w:rsid w:val="00696E3A"/>
    <w:rsid w:val="006A0834"/>
    <w:rsid w:val="006A4BBD"/>
    <w:rsid w:val="006A52F1"/>
    <w:rsid w:val="006B3110"/>
    <w:rsid w:val="006B561D"/>
    <w:rsid w:val="006B6D5D"/>
    <w:rsid w:val="006D2330"/>
    <w:rsid w:val="006E0F8B"/>
    <w:rsid w:val="006E12F7"/>
    <w:rsid w:val="006E1C65"/>
    <w:rsid w:val="006E29D7"/>
    <w:rsid w:val="007068A4"/>
    <w:rsid w:val="00706D67"/>
    <w:rsid w:val="00713052"/>
    <w:rsid w:val="00721367"/>
    <w:rsid w:val="007231FA"/>
    <w:rsid w:val="00732C67"/>
    <w:rsid w:val="00734418"/>
    <w:rsid w:val="00736EF7"/>
    <w:rsid w:val="00757826"/>
    <w:rsid w:val="007632B7"/>
    <w:rsid w:val="0076382F"/>
    <w:rsid w:val="00765768"/>
    <w:rsid w:val="00765D10"/>
    <w:rsid w:val="00766AC8"/>
    <w:rsid w:val="00767486"/>
    <w:rsid w:val="0077070E"/>
    <w:rsid w:val="0077296A"/>
    <w:rsid w:val="00777CA4"/>
    <w:rsid w:val="0079073D"/>
    <w:rsid w:val="00792DF0"/>
    <w:rsid w:val="0079309C"/>
    <w:rsid w:val="0079438F"/>
    <w:rsid w:val="007A3034"/>
    <w:rsid w:val="007A527E"/>
    <w:rsid w:val="007A53E7"/>
    <w:rsid w:val="007A78F7"/>
    <w:rsid w:val="007B3333"/>
    <w:rsid w:val="007B379F"/>
    <w:rsid w:val="007B37D6"/>
    <w:rsid w:val="007B5D30"/>
    <w:rsid w:val="007D2920"/>
    <w:rsid w:val="007D42DD"/>
    <w:rsid w:val="007E6A37"/>
    <w:rsid w:val="007F1774"/>
    <w:rsid w:val="007F2CDA"/>
    <w:rsid w:val="00803C62"/>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2734A"/>
    <w:rsid w:val="00933061"/>
    <w:rsid w:val="00935918"/>
    <w:rsid w:val="00935EC3"/>
    <w:rsid w:val="00951097"/>
    <w:rsid w:val="00953C1E"/>
    <w:rsid w:val="0096210F"/>
    <w:rsid w:val="00962633"/>
    <w:rsid w:val="00963187"/>
    <w:rsid w:val="00963ACF"/>
    <w:rsid w:val="00963D1C"/>
    <w:rsid w:val="00964284"/>
    <w:rsid w:val="0097028A"/>
    <w:rsid w:val="00973BD6"/>
    <w:rsid w:val="00984549"/>
    <w:rsid w:val="00985182"/>
    <w:rsid w:val="00985D28"/>
    <w:rsid w:val="00991BF0"/>
    <w:rsid w:val="00994B8B"/>
    <w:rsid w:val="009A0FB1"/>
    <w:rsid w:val="009A1FAC"/>
    <w:rsid w:val="009B001A"/>
    <w:rsid w:val="009B1A62"/>
    <w:rsid w:val="009B450C"/>
    <w:rsid w:val="009B7CB2"/>
    <w:rsid w:val="009C3CC7"/>
    <w:rsid w:val="009D2057"/>
    <w:rsid w:val="009D3D6C"/>
    <w:rsid w:val="009D5551"/>
    <w:rsid w:val="009D62DB"/>
    <w:rsid w:val="009E3B42"/>
    <w:rsid w:val="00A05B60"/>
    <w:rsid w:val="00A13266"/>
    <w:rsid w:val="00A14FA6"/>
    <w:rsid w:val="00A15D64"/>
    <w:rsid w:val="00A20575"/>
    <w:rsid w:val="00A2213D"/>
    <w:rsid w:val="00A32452"/>
    <w:rsid w:val="00A32BBF"/>
    <w:rsid w:val="00A37444"/>
    <w:rsid w:val="00A4281A"/>
    <w:rsid w:val="00A459CF"/>
    <w:rsid w:val="00A5014D"/>
    <w:rsid w:val="00A53E96"/>
    <w:rsid w:val="00A56F18"/>
    <w:rsid w:val="00A628F8"/>
    <w:rsid w:val="00A62BAA"/>
    <w:rsid w:val="00A66172"/>
    <w:rsid w:val="00A744C3"/>
    <w:rsid w:val="00A92630"/>
    <w:rsid w:val="00AA70AB"/>
    <w:rsid w:val="00AB0B9F"/>
    <w:rsid w:val="00AB1713"/>
    <w:rsid w:val="00AB63BE"/>
    <w:rsid w:val="00AC1EBC"/>
    <w:rsid w:val="00AC2599"/>
    <w:rsid w:val="00AC2DE9"/>
    <w:rsid w:val="00AD2C5F"/>
    <w:rsid w:val="00AE1481"/>
    <w:rsid w:val="00AE27F9"/>
    <w:rsid w:val="00AE77DB"/>
    <w:rsid w:val="00AF0269"/>
    <w:rsid w:val="00AF7453"/>
    <w:rsid w:val="00B00FFF"/>
    <w:rsid w:val="00B06084"/>
    <w:rsid w:val="00B16735"/>
    <w:rsid w:val="00B17EDE"/>
    <w:rsid w:val="00B22585"/>
    <w:rsid w:val="00B33693"/>
    <w:rsid w:val="00B34C53"/>
    <w:rsid w:val="00B503C0"/>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B7F6B"/>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4AA0"/>
    <w:rsid w:val="00C763BD"/>
    <w:rsid w:val="00C779A8"/>
    <w:rsid w:val="00C82E19"/>
    <w:rsid w:val="00C8414F"/>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13C3CF28"/>
    <w:rsid w:val="1AC235A1"/>
    <w:rsid w:val="3F546638"/>
    <w:rsid w:val="3F8B7918"/>
    <w:rsid w:val="467E0461"/>
    <w:rsid w:val="63A56ADD"/>
    <w:rsid w:val="6436B27A"/>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985182"/>
    <w:rPr>
      <w:sz w:val="16"/>
      <w:szCs w:val="16"/>
    </w:rPr>
  </w:style>
  <w:style w:type="paragraph" w:styleId="CommentSubject">
    <w:name w:val="annotation subject"/>
    <w:basedOn w:val="CommentText"/>
    <w:next w:val="CommentText"/>
    <w:link w:val="CommentSubjectChar"/>
    <w:uiPriority w:val="99"/>
    <w:semiHidden/>
    <w:unhideWhenUsed/>
    <w:rsid w:val="00985182"/>
    <w:rPr>
      <w:b/>
      <w:bCs/>
    </w:rPr>
  </w:style>
  <w:style w:type="character" w:customStyle="1" w:styleId="CommentTextChar">
    <w:name w:val="Comment Text Char"/>
    <w:basedOn w:val="DefaultParagraphFont"/>
    <w:link w:val="CommentText"/>
    <w:semiHidden/>
    <w:rsid w:val="00985182"/>
    <w:rPr>
      <w:rFonts w:ascii="Arial" w:hAnsi="Arial"/>
    </w:rPr>
  </w:style>
  <w:style w:type="character" w:customStyle="1" w:styleId="CommentSubjectChar">
    <w:name w:val="Comment Subject Char"/>
    <w:basedOn w:val="CommentTextChar"/>
    <w:link w:val="CommentSubject"/>
    <w:uiPriority w:val="99"/>
    <w:semiHidden/>
    <w:rsid w:val="009851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op.edu/conditions-diseases/dravet-syndr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avetfoundation.org/what-is-dravet-syndr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7E48F-B45A-44E9-A6CA-20015439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3081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Anticonvulsants, Dravet Syndrome PDL Edit</dc:title>
  <dc:creator>DMS</dc:creator>
  <cp:lastModifiedBy>Colozza, Jennifer</cp:lastModifiedBy>
  <cp:revision>28</cp:revision>
  <cp:lastPrinted>2018-10-31T20:17:00Z</cp:lastPrinted>
  <dcterms:created xsi:type="dcterms:W3CDTF">2025-11-28T22:42:00Z</dcterms:created>
  <dcterms:modified xsi:type="dcterms:W3CDTF">2025-12-17T16:20:00Z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