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37B21C0B" w:rsidR="004C5767" w:rsidRPr="008859E1" w:rsidRDefault="004C5767" w:rsidP="00D27533">
      <w:pPr>
        <w:pStyle w:val="tbody"/>
        <w:rPr>
          <w:b w:val="0"/>
          <w:bCs/>
        </w:rPr>
      </w:pPr>
      <w:r w:rsidRPr="00C02553">
        <w:t>Drug/Drug Class:</w:t>
      </w:r>
      <w:r w:rsidR="003B4820">
        <w:t xml:space="preserve"> </w:t>
      </w:r>
      <w:r w:rsidR="009418B3" w:rsidRPr="009418B3">
        <w:rPr>
          <w:b w:val="0"/>
          <w:bCs/>
        </w:rPr>
        <w:t>Antibiotics, Gastrointestinal (GI) Oral PDL Edit</w:t>
      </w:r>
    </w:p>
    <w:p w14:paraId="7AD7FFCE" w14:textId="60D264A1" w:rsidR="004C5767" w:rsidRPr="00C02553" w:rsidRDefault="004C5767" w:rsidP="00D27533">
      <w:pPr>
        <w:pStyle w:val="tbody"/>
      </w:pPr>
      <w:r w:rsidRPr="00C02553">
        <w:t xml:space="preserve">First Implementation Date: </w:t>
      </w:r>
      <w:r w:rsidR="009418B3" w:rsidRPr="009418B3">
        <w:rPr>
          <w:b w:val="0"/>
          <w:bCs/>
        </w:rPr>
        <w:t>October 5, 2017</w:t>
      </w:r>
    </w:p>
    <w:p w14:paraId="4B7D760D" w14:textId="43633364" w:rsidR="004C5767" w:rsidRPr="00057F84" w:rsidRDefault="00F41F69" w:rsidP="00D27533">
      <w:pPr>
        <w:pStyle w:val="tbody"/>
        <w:rPr>
          <w:b w:val="0"/>
          <w:bCs/>
        </w:rPr>
      </w:pPr>
      <w:r>
        <w:t>Propo</w:t>
      </w:r>
      <w:r w:rsidR="004C5767" w:rsidRPr="00C02553">
        <w:t>sed Date:</w:t>
      </w:r>
      <w:r w:rsidR="00065C22">
        <w:t xml:space="preserve"> </w:t>
      </w:r>
      <w:r w:rsidR="00057F84" w:rsidRPr="00057F84">
        <w:rPr>
          <w:b w:val="0"/>
          <w:bCs/>
        </w:rPr>
        <w:t>January 20, 202</w:t>
      </w:r>
      <w:r w:rsidR="002B1512">
        <w:rPr>
          <w:b w:val="0"/>
          <w:bCs/>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5F93E7E" w:rsidR="004C5767" w:rsidRPr="00D27533" w:rsidRDefault="004C5767" w:rsidP="00D27533">
      <w:pPr>
        <w:pStyle w:val="tbody"/>
        <w:rPr>
          <w:b w:val="0"/>
          <w:bCs/>
          <w:spacing w:val="-3"/>
        </w:rPr>
      </w:pPr>
      <w:r w:rsidRPr="00C02553">
        <w:t xml:space="preserve">Criteria Status: </w:t>
      </w:r>
      <w:r w:rsidR="00566BE4" w:rsidRPr="002B1512">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04A11959" w14:textId="6D577092" w:rsidR="009418B3" w:rsidRPr="00DD23AF" w:rsidRDefault="009418B3" w:rsidP="009418B3">
      <w:pPr>
        <w:pStyle w:val="Header"/>
        <w:tabs>
          <w:tab w:val="clear" w:pos="4320"/>
          <w:tab w:val="clear" w:pos="8640"/>
        </w:tabs>
        <w:rPr>
          <w:rFonts w:cs="Arial"/>
          <w:b/>
          <w:bCs/>
          <w:color w:val="0070C0"/>
          <w:spacing w:val="-3"/>
          <w:sz w:val="20"/>
        </w:rPr>
      </w:pPr>
      <w:r>
        <w:rPr>
          <w:rFonts w:cs="Arial"/>
          <w:spacing w:val="-3"/>
          <w:sz w:val="20"/>
        </w:rPr>
        <w:t xml:space="preserve">A </w:t>
      </w:r>
      <w:r w:rsidRPr="000A7D1A">
        <w:rPr>
          <w:rFonts w:cs="Arial"/>
          <w:spacing w:val="-3"/>
          <w:sz w:val="20"/>
        </w:rPr>
        <w:t>variety of antibiotics are utilized in the treatment of gastrointestinal related infections and bacterial vaginosis. The most common symptom of gastrointestinal</w:t>
      </w:r>
      <w:r>
        <w:rPr>
          <w:rFonts w:cs="Arial"/>
          <w:spacing w:val="-3"/>
          <w:sz w:val="20"/>
        </w:rPr>
        <w:t xml:space="preserve"> (GI)</w:t>
      </w:r>
      <w:r w:rsidRPr="000A7D1A">
        <w:rPr>
          <w:rFonts w:cs="Arial"/>
          <w:spacing w:val="-3"/>
          <w:sz w:val="20"/>
        </w:rPr>
        <w:t xml:space="preserve"> infections is diarrhea, which may be mild to severe. Traveler’s </w:t>
      </w:r>
      <w:r>
        <w:rPr>
          <w:rFonts w:cs="Arial"/>
          <w:spacing w:val="-3"/>
          <w:sz w:val="20"/>
        </w:rPr>
        <w:t>d</w:t>
      </w:r>
      <w:r w:rsidRPr="000A7D1A">
        <w:rPr>
          <w:rFonts w:cs="Arial"/>
          <w:spacing w:val="-3"/>
          <w:sz w:val="20"/>
        </w:rPr>
        <w:t xml:space="preserve">iarrhea, </w:t>
      </w:r>
      <w:r>
        <w:rPr>
          <w:rFonts w:cs="Arial"/>
          <w:spacing w:val="-3"/>
          <w:sz w:val="20"/>
        </w:rPr>
        <w:t>a</w:t>
      </w:r>
      <w:r w:rsidRPr="000A7D1A">
        <w:rPr>
          <w:rFonts w:cs="Arial"/>
          <w:spacing w:val="-3"/>
          <w:sz w:val="20"/>
        </w:rPr>
        <w:t xml:space="preserve">mebiasis, </w:t>
      </w:r>
      <w:r>
        <w:rPr>
          <w:rFonts w:cs="Arial"/>
          <w:spacing w:val="-3"/>
          <w:sz w:val="20"/>
        </w:rPr>
        <w:t>g</w:t>
      </w:r>
      <w:r w:rsidRPr="000A7D1A">
        <w:rPr>
          <w:rFonts w:cs="Arial"/>
          <w:spacing w:val="-3"/>
          <w:sz w:val="20"/>
        </w:rPr>
        <w:t xml:space="preserve">iardiasis, </w:t>
      </w:r>
      <w:r>
        <w:rPr>
          <w:rFonts w:cs="Arial"/>
          <w:spacing w:val="-3"/>
          <w:sz w:val="20"/>
        </w:rPr>
        <w:t>c</w:t>
      </w:r>
      <w:r w:rsidRPr="000A7D1A">
        <w:rPr>
          <w:rFonts w:cs="Arial"/>
          <w:spacing w:val="-3"/>
          <w:sz w:val="20"/>
        </w:rPr>
        <w:t xml:space="preserve">ryptosporidiosis, and </w:t>
      </w:r>
      <w:r>
        <w:rPr>
          <w:rFonts w:cs="Arial"/>
          <w:spacing w:val="-3"/>
          <w:sz w:val="20"/>
        </w:rPr>
        <w:t>t</w:t>
      </w:r>
      <w:r w:rsidRPr="000A7D1A">
        <w:rPr>
          <w:rFonts w:cs="Arial"/>
          <w:spacing w:val="-3"/>
          <w:sz w:val="20"/>
        </w:rPr>
        <w:t xml:space="preserve">richomoniasis are all GI conditions that are amenable to treatment with the GI antibiotics. </w:t>
      </w:r>
      <w:r>
        <w:rPr>
          <w:rFonts w:cs="Arial"/>
          <w:spacing w:val="-3"/>
          <w:sz w:val="20"/>
        </w:rPr>
        <w:t>Another condition for which these agents are used is h</w:t>
      </w:r>
      <w:r w:rsidRPr="000A7D1A">
        <w:rPr>
          <w:rFonts w:cs="Arial"/>
          <w:spacing w:val="-3"/>
          <w:sz w:val="20"/>
        </w:rPr>
        <w:t xml:space="preserve">epatic encephalopathy </w:t>
      </w:r>
      <w:r>
        <w:rPr>
          <w:rFonts w:cs="Arial"/>
          <w:spacing w:val="-3"/>
          <w:sz w:val="20"/>
        </w:rPr>
        <w:t xml:space="preserve">(HE) which may occur in cases with </w:t>
      </w:r>
      <w:r w:rsidRPr="000A7D1A">
        <w:rPr>
          <w:rFonts w:cs="Arial"/>
          <w:spacing w:val="-3"/>
          <w:sz w:val="20"/>
        </w:rPr>
        <w:t xml:space="preserve">cirrhosis and is characterized by altered consciousness, behavior, and motor function due primarily to the accumulation of ammonia in the blood. </w:t>
      </w:r>
      <w:r>
        <w:rPr>
          <w:rFonts w:cs="Arial"/>
          <w:spacing w:val="-3"/>
          <w:sz w:val="20"/>
        </w:rPr>
        <w:t>Second-line therapy can include rifaximin and is</w:t>
      </w:r>
      <w:r w:rsidRPr="000A7D1A">
        <w:rPr>
          <w:rFonts w:cs="Arial"/>
          <w:spacing w:val="-3"/>
          <w:sz w:val="20"/>
        </w:rPr>
        <w:t xml:space="preserve"> intended to reduce nitrogen load from the GI tract and improve CNS status.</w:t>
      </w:r>
      <w:r>
        <w:rPr>
          <w:rFonts w:cs="Arial"/>
          <w:spacing w:val="-3"/>
          <w:sz w:val="20"/>
        </w:rPr>
        <w:t xml:space="preserve"> </w:t>
      </w:r>
      <w:r>
        <w:rPr>
          <w:rFonts w:cs="Arial"/>
          <w:i/>
          <w:iCs/>
          <w:spacing w:val="-3"/>
          <w:sz w:val="20"/>
        </w:rPr>
        <w:t>Clostridioides difficile</w:t>
      </w:r>
      <w:r>
        <w:rPr>
          <w:rFonts w:cs="Arial"/>
          <w:spacing w:val="-3"/>
          <w:sz w:val="20"/>
        </w:rPr>
        <w:t xml:space="preserve"> </w:t>
      </w:r>
      <w:r w:rsidRPr="00B13836">
        <w:rPr>
          <w:rFonts w:cs="Arial"/>
          <w:spacing w:val="-3"/>
          <w:sz w:val="20"/>
        </w:rPr>
        <w:t>(</w:t>
      </w:r>
      <w:r w:rsidRPr="00DD23AF">
        <w:rPr>
          <w:rFonts w:cs="Arial"/>
          <w:i/>
          <w:iCs/>
          <w:spacing w:val="-3"/>
          <w:sz w:val="20"/>
        </w:rPr>
        <w:t>C. difficile</w:t>
      </w:r>
      <w:r w:rsidRPr="00B13836">
        <w:rPr>
          <w:rFonts w:cs="Arial"/>
          <w:spacing w:val="-3"/>
          <w:sz w:val="20"/>
        </w:rPr>
        <w:t>)-</w:t>
      </w:r>
      <w:r w:rsidRPr="000A7D1A">
        <w:rPr>
          <w:rFonts w:cs="Arial"/>
          <w:spacing w:val="-3"/>
          <w:sz w:val="20"/>
        </w:rPr>
        <w:t xml:space="preserve">associated diarrhea can be an unavoidable consequence of prior antimicrobial use. The bacterium multiplies in the colon and produces toxins that stimulate a process in the colon leading to colitis, </w:t>
      </w:r>
      <w:r>
        <w:rPr>
          <w:rFonts w:cs="Arial"/>
          <w:spacing w:val="-3"/>
          <w:sz w:val="20"/>
        </w:rPr>
        <w:t xml:space="preserve">which is </w:t>
      </w:r>
      <w:r w:rsidRPr="000A7D1A">
        <w:rPr>
          <w:rFonts w:cs="Arial"/>
          <w:spacing w:val="-3"/>
          <w:sz w:val="20"/>
        </w:rPr>
        <w:t xml:space="preserve">characterized by watery, and occasionally, bloody diarrhea. </w:t>
      </w:r>
      <w:r w:rsidRPr="007443CE">
        <w:rPr>
          <w:rFonts w:cs="Arial"/>
          <w:spacing w:val="-3"/>
          <w:sz w:val="20"/>
        </w:rPr>
        <w:t xml:space="preserve">A 2021 Focused Update to the clinical practice guideline for adults by the Infectious Diseases Society of America (IDSA) and Society for Healthcare Epidemiology of America (SHEA) recommends fidaxomicin over vancomycin in patients with an initial </w:t>
      </w:r>
      <w:r w:rsidRPr="007443CE">
        <w:rPr>
          <w:rFonts w:cs="Arial"/>
          <w:i/>
          <w:iCs/>
          <w:spacing w:val="-3"/>
          <w:sz w:val="20"/>
        </w:rPr>
        <w:t>C. difficile</w:t>
      </w:r>
      <w:r w:rsidRPr="007443CE">
        <w:rPr>
          <w:rFonts w:cs="Arial"/>
          <w:spacing w:val="-3"/>
          <w:sz w:val="20"/>
        </w:rPr>
        <w:t xml:space="preserve"> infection (severe or non-severe) or first recurrence. However, the guideline maintains that vancomycin is an acceptable alternative in both instances.  The most current recommendations for pediatrics reference the 2017 IDSA guidelines which suggest either metronidazole or vancomycin for non-severe, initial or first recurrence episodes</w:t>
      </w:r>
      <w:r>
        <w:rPr>
          <w:rFonts w:cs="Arial"/>
          <w:spacing w:val="-3"/>
          <w:sz w:val="20"/>
        </w:rPr>
        <w:t>. The guidelines recommend vancomycin over metronidazole for severe or second and greater recurrence episodes</w:t>
      </w:r>
      <w:r w:rsidRPr="007443CE">
        <w:rPr>
          <w:rFonts w:cs="Arial"/>
          <w:spacing w:val="-3"/>
          <w:sz w:val="20"/>
        </w:rPr>
        <w:t xml:space="preserve">. Fidaxomicin is a macrolide antibiotic indicated for the treatment of diarrhea due to </w:t>
      </w:r>
      <w:r w:rsidRPr="007443CE">
        <w:rPr>
          <w:rFonts w:cs="Arial"/>
          <w:i/>
          <w:iCs/>
          <w:spacing w:val="-3"/>
          <w:sz w:val="20"/>
        </w:rPr>
        <w:t>C. difficile</w:t>
      </w:r>
      <w:r w:rsidRPr="007443CE">
        <w:rPr>
          <w:rFonts w:cs="Arial"/>
          <w:spacing w:val="-3"/>
          <w:sz w:val="20"/>
        </w:rPr>
        <w:t>.</w:t>
      </w:r>
      <w:r w:rsidRPr="00B13836">
        <w:rPr>
          <w:rFonts w:cs="Arial"/>
          <w:spacing w:val="-3"/>
          <w:sz w:val="20"/>
        </w:rPr>
        <w:t xml:space="preserve"> </w:t>
      </w:r>
      <w:r w:rsidRPr="000A7D1A">
        <w:rPr>
          <w:rFonts w:cs="Arial"/>
          <w:spacing w:val="-3"/>
          <w:sz w:val="20"/>
        </w:rPr>
        <w:t>Metronidazole is</w:t>
      </w:r>
      <w:r>
        <w:rPr>
          <w:rFonts w:cs="Arial"/>
          <w:b/>
          <w:bCs/>
          <w:color w:val="0070C0"/>
          <w:spacing w:val="-3"/>
          <w:sz w:val="20"/>
        </w:rPr>
        <w:t xml:space="preserve"> </w:t>
      </w:r>
      <w:r>
        <w:rPr>
          <w:rFonts w:cs="Arial"/>
          <w:spacing w:val="-3"/>
          <w:sz w:val="20"/>
        </w:rPr>
        <w:t xml:space="preserve">commonly </w:t>
      </w:r>
      <w:r w:rsidRPr="00B13836">
        <w:rPr>
          <w:rFonts w:cs="Arial"/>
          <w:spacing w:val="-3"/>
          <w:sz w:val="20"/>
        </w:rPr>
        <w:t xml:space="preserve">utilized </w:t>
      </w:r>
      <w:r w:rsidRPr="000A7D1A">
        <w:rPr>
          <w:rFonts w:cs="Arial"/>
          <w:spacing w:val="-3"/>
          <w:sz w:val="20"/>
        </w:rPr>
        <w:t>for bacterial vaginosis</w:t>
      </w:r>
      <w:r>
        <w:rPr>
          <w:rFonts w:cs="Arial"/>
          <w:spacing w:val="-3"/>
          <w:sz w:val="20"/>
        </w:rPr>
        <w:t xml:space="preserve"> </w:t>
      </w:r>
      <w:r w:rsidRPr="00B13836">
        <w:rPr>
          <w:rFonts w:cs="Arial"/>
          <w:spacing w:val="-3"/>
          <w:sz w:val="20"/>
        </w:rPr>
        <w:t>but is also indicated for pelvic inflammatory disease, serious anaerobic infections</w:t>
      </w:r>
      <w:r>
        <w:rPr>
          <w:rFonts w:cs="Arial"/>
          <w:spacing w:val="-3"/>
          <w:sz w:val="20"/>
        </w:rPr>
        <w:t>,</w:t>
      </w:r>
      <w:r w:rsidRPr="00B13836">
        <w:rPr>
          <w:rFonts w:cs="Arial"/>
          <w:spacing w:val="-3"/>
          <w:sz w:val="20"/>
        </w:rPr>
        <w:t xml:space="preserve"> in addition to treatment of infections of the GI tract. </w:t>
      </w:r>
      <w:r w:rsidRPr="000A7D1A">
        <w:rPr>
          <w:rFonts w:cs="Arial"/>
          <w:spacing w:val="-3"/>
          <w:sz w:val="20"/>
        </w:rPr>
        <w:t>Neomycin is used as a bowel preparation prior to</w:t>
      </w:r>
      <w:r w:rsidRPr="00B13836">
        <w:rPr>
          <w:rFonts w:cs="Arial"/>
          <w:spacing w:val="-3"/>
          <w:sz w:val="20"/>
        </w:rPr>
        <w:t xml:space="preserve"> colorectal surgery as well as an adjunctive agent for the treatment of </w:t>
      </w:r>
      <w:r>
        <w:rPr>
          <w:rFonts w:cs="Arial"/>
          <w:spacing w:val="-3"/>
          <w:sz w:val="20"/>
        </w:rPr>
        <w:t>HE</w:t>
      </w:r>
      <w:r w:rsidRPr="00B13836">
        <w:rPr>
          <w:rFonts w:cs="Arial"/>
          <w:spacing w:val="-3"/>
          <w:sz w:val="20"/>
        </w:rPr>
        <w:t xml:space="preserve"> or hepatic coma.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2E36880F" w14:textId="77777777" w:rsidR="009418B3" w:rsidRDefault="009418B3" w:rsidP="00ED62DD">
      <w:pPr>
        <w:pStyle w:val="ListParagraph"/>
        <w:numPr>
          <w:ilvl w:val="0"/>
          <w:numId w:val="15"/>
        </w:numPr>
        <w:ind w:left="360"/>
      </w:pPr>
      <w:r>
        <w:t>Metronidazole 250, 500 mg Tabs</w:t>
      </w:r>
    </w:p>
    <w:p w14:paraId="7D0E785E" w14:textId="77777777" w:rsidR="009418B3" w:rsidRDefault="009418B3" w:rsidP="00ED62DD">
      <w:pPr>
        <w:pStyle w:val="ListParagraph"/>
        <w:numPr>
          <w:ilvl w:val="0"/>
          <w:numId w:val="15"/>
        </w:numPr>
        <w:ind w:left="360"/>
      </w:pPr>
      <w:r>
        <w:t xml:space="preserve">Neomycin </w:t>
      </w:r>
    </w:p>
    <w:p w14:paraId="47320590" w14:textId="2F2CB4F2" w:rsidR="00FD34EA" w:rsidRPr="00ED62DD" w:rsidRDefault="009418B3" w:rsidP="00ED62DD">
      <w:pPr>
        <w:pStyle w:val="ListParagraph"/>
        <w:numPr>
          <w:ilvl w:val="0"/>
          <w:numId w:val="15"/>
        </w:numPr>
        <w:ind w:left="360"/>
        <w:rPr>
          <w:rFonts w:cs="Arial"/>
          <w:szCs w:val="20"/>
        </w:rPr>
      </w:pPr>
      <w:r>
        <w:t>Vancomycin Caps</w:t>
      </w:r>
    </w:p>
    <w:p w14:paraId="0ECA08B8" w14:textId="77777777" w:rsidR="0007214E" w:rsidRDefault="0007214E" w:rsidP="00846FA4">
      <w:pPr>
        <w:rPr>
          <w:b/>
          <w:bCs/>
        </w:rPr>
      </w:pPr>
    </w:p>
    <w:p w14:paraId="56404718" w14:textId="5326B3BC" w:rsidR="00846FA4" w:rsidRDefault="00846FA4" w:rsidP="00846FA4">
      <w:pPr>
        <w:rPr>
          <w:b/>
          <w:bCs/>
        </w:rPr>
      </w:pPr>
      <w:r>
        <w:rPr>
          <w:b/>
          <w:bCs/>
        </w:rPr>
        <w:t>Non-Preferred Agents:</w:t>
      </w:r>
    </w:p>
    <w:p w14:paraId="3F8DFF07" w14:textId="77777777" w:rsidR="00BA712E" w:rsidRPr="00151BFA" w:rsidRDefault="00BA712E" w:rsidP="61F88254">
      <w:pPr>
        <w:numPr>
          <w:ilvl w:val="0"/>
          <w:numId w:val="16"/>
        </w:numPr>
        <w:rPr>
          <w:rFonts w:cs="Arial"/>
          <w:spacing w:val="-3"/>
        </w:rPr>
      </w:pPr>
      <w:proofErr w:type="spellStart"/>
      <w:r w:rsidRPr="61F88254">
        <w:rPr>
          <w:rFonts w:cs="Arial"/>
          <w:spacing w:val="-3"/>
        </w:rPr>
        <w:t>Aemcolo</w:t>
      </w:r>
      <w:proofErr w:type="spellEnd"/>
      <w:r w:rsidRPr="61F88254">
        <w:rPr>
          <w:rFonts w:cs="Arial"/>
          <w:spacing w:val="-3"/>
          <w:vertAlign w:val="superscript"/>
        </w:rPr>
        <w:t>®</w:t>
      </w:r>
    </w:p>
    <w:p w14:paraId="457D8E1A" w14:textId="77777777" w:rsidR="00BA712E" w:rsidRPr="00151BFA" w:rsidRDefault="00BA712E" w:rsidP="00BA712E">
      <w:pPr>
        <w:numPr>
          <w:ilvl w:val="0"/>
          <w:numId w:val="16"/>
        </w:numPr>
        <w:rPr>
          <w:rFonts w:cs="Arial"/>
          <w:spacing w:val="-3"/>
          <w:szCs w:val="20"/>
        </w:rPr>
      </w:pPr>
      <w:r w:rsidRPr="00151BFA">
        <w:rPr>
          <w:rFonts w:cs="Arial"/>
          <w:spacing w:val="-3"/>
          <w:szCs w:val="20"/>
        </w:rPr>
        <w:t>Dificid</w:t>
      </w:r>
      <w:r w:rsidRPr="00151BFA">
        <w:rPr>
          <w:rFonts w:cs="Arial"/>
          <w:spacing w:val="-3"/>
          <w:szCs w:val="20"/>
          <w:vertAlign w:val="superscript"/>
        </w:rPr>
        <w:t>®</w:t>
      </w:r>
      <w:r w:rsidRPr="00151BFA">
        <w:rPr>
          <w:rFonts w:cs="Arial"/>
          <w:spacing w:val="-3"/>
          <w:szCs w:val="20"/>
        </w:rPr>
        <w:t xml:space="preserve"> </w:t>
      </w:r>
    </w:p>
    <w:p w14:paraId="038D5FFA" w14:textId="340AAAC5" w:rsidR="005741C9" w:rsidRPr="005741C9" w:rsidRDefault="005741C9" w:rsidP="00BA712E">
      <w:pPr>
        <w:numPr>
          <w:ilvl w:val="0"/>
          <w:numId w:val="16"/>
        </w:numPr>
        <w:rPr>
          <w:rFonts w:cs="Arial"/>
          <w:b/>
          <w:bCs/>
          <w:color w:val="1F497D" w:themeColor="text2"/>
          <w:spacing w:val="-3"/>
          <w:szCs w:val="20"/>
        </w:rPr>
      </w:pPr>
      <w:r w:rsidRPr="005741C9">
        <w:rPr>
          <w:rFonts w:cs="Arial"/>
          <w:b/>
          <w:bCs/>
          <w:color w:val="1F497D" w:themeColor="text2"/>
          <w:spacing w:val="-3"/>
          <w:szCs w:val="20"/>
        </w:rPr>
        <w:t>Fidaxomicin</w:t>
      </w:r>
    </w:p>
    <w:p w14:paraId="7CC15E1F" w14:textId="50F28962" w:rsidR="00BA712E" w:rsidRPr="00151BFA" w:rsidRDefault="00BA712E" w:rsidP="00BA712E">
      <w:pPr>
        <w:numPr>
          <w:ilvl w:val="0"/>
          <w:numId w:val="16"/>
        </w:numPr>
        <w:rPr>
          <w:rFonts w:cs="Arial"/>
          <w:spacing w:val="-3"/>
          <w:szCs w:val="20"/>
        </w:rPr>
      </w:pPr>
      <w:r w:rsidRPr="00151BFA">
        <w:rPr>
          <w:rFonts w:cs="Arial"/>
          <w:spacing w:val="-3"/>
          <w:szCs w:val="20"/>
        </w:rPr>
        <w:t>Firvanq</w:t>
      </w:r>
      <w:r w:rsidRPr="00151BFA">
        <w:rPr>
          <w:rFonts w:cs="Arial"/>
          <w:spacing w:val="-3"/>
          <w:szCs w:val="20"/>
          <w:vertAlign w:val="superscript"/>
        </w:rPr>
        <w:t>®</w:t>
      </w:r>
    </w:p>
    <w:p w14:paraId="68833749" w14:textId="77777777" w:rsidR="00BA712E" w:rsidRPr="00382A8C" w:rsidRDefault="00BA712E" w:rsidP="00BA712E">
      <w:pPr>
        <w:numPr>
          <w:ilvl w:val="0"/>
          <w:numId w:val="16"/>
        </w:numPr>
        <w:rPr>
          <w:rFonts w:cs="Arial"/>
          <w:spacing w:val="-3"/>
          <w:szCs w:val="20"/>
        </w:rPr>
      </w:pPr>
      <w:r w:rsidRPr="00382A8C">
        <w:rPr>
          <w:rFonts w:cs="Arial"/>
          <w:spacing w:val="-3"/>
          <w:szCs w:val="20"/>
        </w:rPr>
        <w:lastRenderedPageBreak/>
        <w:t>Likmez</w:t>
      </w:r>
      <w:r w:rsidRPr="00382A8C">
        <w:rPr>
          <w:rFonts w:cs="Arial"/>
          <w:spacing w:val="-3"/>
          <w:szCs w:val="20"/>
          <w:vertAlign w:val="superscript"/>
        </w:rPr>
        <w:t>™</w:t>
      </w:r>
    </w:p>
    <w:p w14:paraId="0CECE5F5" w14:textId="77777777" w:rsidR="00BA712E" w:rsidRDefault="00BA712E" w:rsidP="00BA712E">
      <w:pPr>
        <w:numPr>
          <w:ilvl w:val="0"/>
          <w:numId w:val="16"/>
        </w:numPr>
        <w:rPr>
          <w:rFonts w:cs="Arial"/>
          <w:spacing w:val="-3"/>
          <w:szCs w:val="20"/>
        </w:rPr>
      </w:pPr>
      <w:r w:rsidRPr="00151BFA">
        <w:rPr>
          <w:rFonts w:cs="Arial"/>
          <w:spacing w:val="-3"/>
          <w:szCs w:val="20"/>
        </w:rPr>
        <w:t>Metronidazole Caps</w:t>
      </w:r>
    </w:p>
    <w:p w14:paraId="34B33FE4" w14:textId="228AFEDE" w:rsidR="000D2D94" w:rsidRPr="000D2D94" w:rsidRDefault="000D2D94" w:rsidP="00BA712E">
      <w:pPr>
        <w:numPr>
          <w:ilvl w:val="0"/>
          <w:numId w:val="16"/>
        </w:numPr>
        <w:rPr>
          <w:rFonts w:cs="Arial"/>
          <w:b/>
          <w:bCs/>
          <w:color w:val="1F497D" w:themeColor="text2"/>
          <w:spacing w:val="-3"/>
          <w:szCs w:val="20"/>
        </w:rPr>
      </w:pPr>
      <w:r w:rsidRPr="000D2D94">
        <w:rPr>
          <w:rFonts w:cs="Arial"/>
          <w:b/>
          <w:bCs/>
          <w:color w:val="1F497D" w:themeColor="text2"/>
          <w:spacing w:val="-3"/>
          <w:szCs w:val="20"/>
        </w:rPr>
        <w:t>Metronidazole 125 mg Tabs</w:t>
      </w:r>
    </w:p>
    <w:p w14:paraId="773E93D5" w14:textId="77777777" w:rsidR="00BA712E" w:rsidRPr="00151BFA" w:rsidRDefault="00BA712E" w:rsidP="00BA712E">
      <w:pPr>
        <w:numPr>
          <w:ilvl w:val="0"/>
          <w:numId w:val="16"/>
        </w:numPr>
        <w:rPr>
          <w:rFonts w:cs="Arial"/>
          <w:spacing w:val="-3"/>
          <w:szCs w:val="20"/>
        </w:rPr>
      </w:pPr>
      <w:r w:rsidRPr="00151BFA">
        <w:rPr>
          <w:rFonts w:cs="Arial"/>
          <w:spacing w:val="-3"/>
          <w:szCs w:val="20"/>
        </w:rPr>
        <w:t>Nitazoxanide</w:t>
      </w:r>
    </w:p>
    <w:p w14:paraId="36BA5C8C" w14:textId="77777777" w:rsidR="00BA712E" w:rsidRPr="00151BFA" w:rsidRDefault="00BA712E" w:rsidP="00BA712E">
      <w:pPr>
        <w:numPr>
          <w:ilvl w:val="0"/>
          <w:numId w:val="16"/>
        </w:numPr>
        <w:rPr>
          <w:rFonts w:cs="Arial"/>
          <w:spacing w:val="-3"/>
          <w:szCs w:val="20"/>
        </w:rPr>
      </w:pPr>
      <w:r w:rsidRPr="00151BFA">
        <w:rPr>
          <w:rFonts w:cs="Arial"/>
          <w:spacing w:val="-3"/>
          <w:szCs w:val="20"/>
        </w:rPr>
        <w:t xml:space="preserve">Paromomycin </w:t>
      </w:r>
    </w:p>
    <w:p w14:paraId="267D3E9A" w14:textId="77777777" w:rsidR="00BA712E" w:rsidRPr="00151BFA" w:rsidRDefault="00BA712E" w:rsidP="00BA712E">
      <w:pPr>
        <w:numPr>
          <w:ilvl w:val="0"/>
          <w:numId w:val="16"/>
        </w:numPr>
        <w:rPr>
          <w:rFonts w:cs="Arial"/>
          <w:spacing w:val="-3"/>
          <w:szCs w:val="20"/>
        </w:rPr>
      </w:pPr>
      <w:r w:rsidRPr="00151BFA">
        <w:rPr>
          <w:rFonts w:cs="Arial"/>
          <w:spacing w:val="-3"/>
          <w:szCs w:val="20"/>
        </w:rPr>
        <w:t>Tinidazole</w:t>
      </w:r>
    </w:p>
    <w:p w14:paraId="2DD76852" w14:textId="77777777" w:rsidR="00BA712E" w:rsidRPr="00151BFA" w:rsidRDefault="00BA712E" w:rsidP="00BA712E">
      <w:pPr>
        <w:numPr>
          <w:ilvl w:val="0"/>
          <w:numId w:val="16"/>
        </w:numPr>
        <w:rPr>
          <w:rFonts w:cs="Arial"/>
          <w:spacing w:val="-3"/>
          <w:szCs w:val="20"/>
        </w:rPr>
      </w:pPr>
      <w:r w:rsidRPr="00151BFA">
        <w:rPr>
          <w:rFonts w:cs="Arial"/>
          <w:spacing w:val="-3"/>
          <w:szCs w:val="20"/>
        </w:rPr>
        <w:t>Vancocin</w:t>
      </w:r>
      <w:r w:rsidRPr="00151BFA">
        <w:rPr>
          <w:rFonts w:cs="Arial"/>
          <w:spacing w:val="-3"/>
          <w:szCs w:val="20"/>
          <w:vertAlign w:val="superscript"/>
        </w:rPr>
        <w:t xml:space="preserve">® </w:t>
      </w:r>
    </w:p>
    <w:p w14:paraId="4885B76F" w14:textId="77777777" w:rsidR="00BA712E" w:rsidRDefault="00BA712E" w:rsidP="002853B3">
      <w:pPr>
        <w:numPr>
          <w:ilvl w:val="0"/>
          <w:numId w:val="16"/>
        </w:numPr>
        <w:rPr>
          <w:rFonts w:cs="Arial"/>
          <w:spacing w:val="-3"/>
          <w:szCs w:val="20"/>
        </w:rPr>
      </w:pPr>
      <w:r w:rsidRPr="00BA712E">
        <w:rPr>
          <w:rFonts w:cs="Arial"/>
          <w:spacing w:val="-3"/>
          <w:szCs w:val="20"/>
        </w:rPr>
        <w:t>Vancomycin Soln</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11AE1FB" w:rsidR="0097028A" w:rsidRPr="0079438F" w:rsidRDefault="0097028A" w:rsidP="00696E3A">
      <w:pPr>
        <w:rPr>
          <w:b/>
        </w:rPr>
      </w:pPr>
      <w:r w:rsidRPr="00696E3A">
        <w:rPr>
          <w:b/>
          <w:bCs/>
        </w:rPr>
        <w:t>Drug class for review:</w:t>
      </w:r>
      <w:r w:rsidRPr="00C02553">
        <w:t xml:space="preserve"> </w:t>
      </w:r>
      <w:r w:rsidR="004459BD" w:rsidRPr="00A91AE9">
        <w:rPr>
          <w:rFonts w:cs="Arial"/>
          <w:szCs w:val="20"/>
        </w:rPr>
        <w:t>Antibiotics, Gastrointestinal (GI)</w:t>
      </w:r>
      <w:r w:rsidR="004459BD">
        <w:rPr>
          <w:rFonts w:cs="Arial"/>
          <w:szCs w:val="20"/>
        </w:rPr>
        <w:t>, Oral Agents</w:t>
      </w:r>
    </w:p>
    <w:p w14:paraId="26CFE8A0" w14:textId="4A8E1A13"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031B81" w:rsidRPr="00031B81">
        <w:t xml:space="preserve"> </w:t>
      </w:r>
      <w:r w:rsidR="00031B81" w:rsidRPr="00031B81">
        <w:rPr>
          <w:rFonts w:cs="Arial"/>
        </w:rPr>
        <w:t>aged 6 months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18D7825" w14:textId="77777777" w:rsidR="00A25BB6" w:rsidRDefault="00A25BB6" w:rsidP="00A25BB6">
      <w:pPr>
        <w:numPr>
          <w:ilvl w:val="0"/>
          <w:numId w:val="17"/>
        </w:numPr>
        <w:rPr>
          <w:rFonts w:cs="Arial"/>
          <w:szCs w:val="20"/>
        </w:rPr>
      </w:pPr>
      <w:r>
        <w:rPr>
          <w:rFonts w:cs="Arial"/>
          <w:szCs w:val="20"/>
        </w:rPr>
        <w:t>Must meet one of the following:</w:t>
      </w:r>
    </w:p>
    <w:p w14:paraId="1B46E53B" w14:textId="77777777" w:rsidR="00A25BB6" w:rsidRDefault="00A25BB6" w:rsidP="00A25BB6">
      <w:pPr>
        <w:numPr>
          <w:ilvl w:val="1"/>
          <w:numId w:val="17"/>
        </w:numPr>
        <w:rPr>
          <w:rFonts w:cs="Arial"/>
          <w:szCs w:val="20"/>
        </w:rPr>
      </w:pPr>
      <w:r>
        <w:rPr>
          <w:rFonts w:cs="Arial"/>
          <w:szCs w:val="20"/>
        </w:rPr>
        <w:t xml:space="preserve">Claim is for a preferred agent; </w:t>
      </w:r>
      <w:r w:rsidRPr="002472C4">
        <w:rPr>
          <w:rFonts w:cs="Arial"/>
          <w:b/>
          <w:bCs/>
          <w:szCs w:val="20"/>
        </w:rPr>
        <w:t>OR</w:t>
      </w:r>
    </w:p>
    <w:p w14:paraId="09D4CE58" w14:textId="77777777" w:rsidR="00A25BB6" w:rsidRPr="00C1018C" w:rsidRDefault="00A25BB6" w:rsidP="00A25BB6">
      <w:pPr>
        <w:numPr>
          <w:ilvl w:val="1"/>
          <w:numId w:val="17"/>
        </w:numPr>
        <w:rPr>
          <w:rFonts w:cs="Arial"/>
          <w:szCs w:val="20"/>
        </w:rPr>
      </w:pPr>
      <w:r w:rsidRPr="00C1018C">
        <w:rPr>
          <w:rFonts w:cs="Arial"/>
          <w:szCs w:val="20"/>
        </w:rPr>
        <w:t xml:space="preserve">Failure to achieve desired therapeutic outcomes with trial on </w:t>
      </w:r>
      <w:r>
        <w:rPr>
          <w:rFonts w:cs="Arial"/>
          <w:szCs w:val="20"/>
        </w:rPr>
        <w:t>2</w:t>
      </w:r>
      <w:r w:rsidRPr="00C1018C">
        <w:rPr>
          <w:rFonts w:cs="Arial"/>
          <w:szCs w:val="20"/>
        </w:rPr>
        <w:t xml:space="preserve"> or more preferred agents</w:t>
      </w:r>
      <w:r>
        <w:rPr>
          <w:rFonts w:cs="Arial"/>
          <w:szCs w:val="20"/>
        </w:rPr>
        <w:t>;</w:t>
      </w:r>
      <w:r w:rsidRPr="00C1018C">
        <w:rPr>
          <w:rFonts w:cs="Arial"/>
          <w:szCs w:val="20"/>
        </w:rPr>
        <w:t xml:space="preserve"> </w:t>
      </w:r>
    </w:p>
    <w:p w14:paraId="43FCCB81" w14:textId="77777777" w:rsidR="00A25BB6" w:rsidRPr="00C1018C" w:rsidRDefault="00A25BB6" w:rsidP="00A25BB6">
      <w:pPr>
        <w:numPr>
          <w:ilvl w:val="2"/>
          <w:numId w:val="17"/>
        </w:numPr>
        <w:rPr>
          <w:rFonts w:cs="Arial"/>
          <w:szCs w:val="20"/>
        </w:rPr>
      </w:pPr>
      <w:r w:rsidRPr="00C1018C">
        <w:rPr>
          <w:rFonts w:cs="Arial"/>
          <w:szCs w:val="20"/>
        </w:rPr>
        <w:t>Documented trial period of preferred agents</w:t>
      </w:r>
      <w:r>
        <w:rPr>
          <w:rFonts w:cs="Arial"/>
          <w:szCs w:val="20"/>
        </w:rPr>
        <w:t xml:space="preserve">; </w:t>
      </w:r>
      <w:r w:rsidRPr="005C5C1F">
        <w:rPr>
          <w:rFonts w:cs="Arial"/>
          <w:b/>
          <w:bCs/>
          <w:szCs w:val="20"/>
        </w:rPr>
        <w:t>OR</w:t>
      </w:r>
    </w:p>
    <w:p w14:paraId="5417DCEB" w14:textId="77777777" w:rsidR="00A25BB6" w:rsidRDefault="00A25BB6" w:rsidP="00A25BB6">
      <w:pPr>
        <w:numPr>
          <w:ilvl w:val="2"/>
          <w:numId w:val="17"/>
        </w:numPr>
        <w:rPr>
          <w:rFonts w:cs="Arial"/>
          <w:szCs w:val="20"/>
        </w:rPr>
      </w:pPr>
      <w:r w:rsidRPr="00C1018C">
        <w:rPr>
          <w:rFonts w:cs="Arial"/>
          <w:szCs w:val="20"/>
        </w:rPr>
        <w:t>Documen</w:t>
      </w:r>
      <w:r>
        <w:rPr>
          <w:rFonts w:cs="Arial"/>
          <w:szCs w:val="20"/>
        </w:rPr>
        <w:t>ted ADE/ADR to preferred agents.</w:t>
      </w:r>
    </w:p>
    <w:p w14:paraId="32830108" w14:textId="77777777" w:rsidR="00A25BB6" w:rsidRPr="00F9419E" w:rsidRDefault="00A25BB6" w:rsidP="00A25BB6">
      <w:pPr>
        <w:numPr>
          <w:ilvl w:val="0"/>
          <w:numId w:val="17"/>
        </w:numPr>
        <w:rPr>
          <w:rFonts w:cs="Arial"/>
          <w:szCs w:val="20"/>
        </w:rPr>
      </w:pPr>
      <w:r w:rsidRPr="00F9419E">
        <w:rPr>
          <w:rFonts w:cs="Arial"/>
          <w:szCs w:val="20"/>
        </w:rPr>
        <w:t>Additional approval criteria for fidaxomicin:</w:t>
      </w:r>
    </w:p>
    <w:p w14:paraId="66CB6BB1" w14:textId="77777777" w:rsidR="00A25BB6" w:rsidRPr="00F9419E" w:rsidRDefault="00A25BB6" w:rsidP="00A25BB6">
      <w:pPr>
        <w:numPr>
          <w:ilvl w:val="1"/>
          <w:numId w:val="17"/>
        </w:numPr>
        <w:rPr>
          <w:rFonts w:cs="Arial"/>
          <w:szCs w:val="20"/>
        </w:rPr>
      </w:pPr>
      <w:r w:rsidRPr="00F9419E">
        <w:rPr>
          <w:rFonts w:cs="Arial"/>
          <w:szCs w:val="20"/>
        </w:rPr>
        <w:t xml:space="preserve">Documented diagnosis of diarrhea due to </w:t>
      </w:r>
      <w:r w:rsidRPr="00F9419E">
        <w:rPr>
          <w:rFonts w:cs="Arial"/>
          <w:i/>
          <w:iCs/>
          <w:szCs w:val="20"/>
        </w:rPr>
        <w:t>Clostridium difficile</w:t>
      </w:r>
      <w:r w:rsidRPr="00F9419E">
        <w:rPr>
          <w:rFonts w:cs="Arial"/>
          <w:szCs w:val="20"/>
        </w:rPr>
        <w:t xml:space="preserve"> in the past 30 days;</w:t>
      </w:r>
    </w:p>
    <w:p w14:paraId="24EF52B3" w14:textId="77777777" w:rsidR="00A25BB6" w:rsidRPr="00F9419E" w:rsidRDefault="00A25BB6" w:rsidP="00A25BB6">
      <w:pPr>
        <w:pStyle w:val="ListParagraph"/>
        <w:numPr>
          <w:ilvl w:val="1"/>
          <w:numId w:val="17"/>
        </w:numPr>
        <w:rPr>
          <w:rFonts w:cs="Arial"/>
          <w:szCs w:val="20"/>
        </w:rPr>
      </w:pPr>
      <w:r w:rsidRPr="00F9419E">
        <w:rPr>
          <w:rFonts w:cs="Arial"/>
          <w:szCs w:val="20"/>
        </w:rPr>
        <w:t>For participants aged 6 months to 17 years:</w:t>
      </w:r>
    </w:p>
    <w:p w14:paraId="0C445800" w14:textId="77777777" w:rsidR="00A25BB6" w:rsidRPr="00F9419E" w:rsidRDefault="00A25BB6" w:rsidP="00A25BB6">
      <w:pPr>
        <w:pStyle w:val="ListParagraph"/>
        <w:numPr>
          <w:ilvl w:val="2"/>
          <w:numId w:val="17"/>
        </w:numPr>
        <w:rPr>
          <w:rFonts w:cs="Arial"/>
          <w:szCs w:val="20"/>
        </w:rPr>
      </w:pPr>
      <w:r w:rsidRPr="00F9419E">
        <w:rPr>
          <w:rFonts w:cs="Arial"/>
          <w:szCs w:val="20"/>
        </w:rPr>
        <w:t xml:space="preserve">Adequate therapeutic trial of metronidazole or vancomycin in the past 30 days; </w:t>
      </w:r>
      <w:r w:rsidRPr="00F9419E">
        <w:rPr>
          <w:rFonts w:cs="Arial"/>
          <w:b/>
          <w:bCs/>
          <w:szCs w:val="20"/>
        </w:rPr>
        <w:t>AND</w:t>
      </w:r>
    </w:p>
    <w:p w14:paraId="34F0A99B" w14:textId="77777777" w:rsidR="00A25BB6" w:rsidRPr="00F9419E" w:rsidRDefault="00A25BB6" w:rsidP="00A25BB6">
      <w:pPr>
        <w:numPr>
          <w:ilvl w:val="1"/>
          <w:numId w:val="17"/>
        </w:numPr>
        <w:rPr>
          <w:rFonts w:cs="Arial"/>
          <w:szCs w:val="20"/>
        </w:rPr>
      </w:pPr>
      <w:r w:rsidRPr="00F9419E">
        <w:rPr>
          <w:rFonts w:cs="Arial"/>
          <w:szCs w:val="20"/>
        </w:rPr>
        <w:t>For participants aged 18 years or older:</w:t>
      </w:r>
    </w:p>
    <w:p w14:paraId="0FA75C3B" w14:textId="77777777" w:rsidR="00A25BB6" w:rsidRPr="00F9419E" w:rsidRDefault="00A25BB6" w:rsidP="00A25BB6">
      <w:pPr>
        <w:numPr>
          <w:ilvl w:val="2"/>
          <w:numId w:val="17"/>
        </w:numPr>
        <w:rPr>
          <w:rFonts w:cs="Arial"/>
          <w:szCs w:val="20"/>
        </w:rPr>
      </w:pPr>
      <w:r w:rsidRPr="00F9419E">
        <w:rPr>
          <w:rFonts w:cs="Arial"/>
          <w:szCs w:val="20"/>
        </w:rPr>
        <w:t>Adequate therapeutic trial of vancomycin in the past 30 days.</w:t>
      </w:r>
    </w:p>
    <w:p w14:paraId="2289EA66" w14:textId="77777777" w:rsidR="00A25BB6" w:rsidRPr="00F9419E" w:rsidRDefault="00A25BB6" w:rsidP="00A25BB6">
      <w:pPr>
        <w:numPr>
          <w:ilvl w:val="0"/>
          <w:numId w:val="17"/>
        </w:numPr>
        <w:jc w:val="both"/>
        <w:rPr>
          <w:rFonts w:cs="Arial"/>
          <w:szCs w:val="20"/>
        </w:rPr>
      </w:pPr>
      <w:r w:rsidRPr="00F9419E">
        <w:rPr>
          <w:rFonts w:cs="Arial"/>
          <w:szCs w:val="20"/>
        </w:rPr>
        <w:t xml:space="preserve">Additional approval criteria for nitazoxanide: </w:t>
      </w:r>
    </w:p>
    <w:p w14:paraId="1FF20FEB" w14:textId="77777777" w:rsidR="00A25BB6" w:rsidRPr="00F9419E" w:rsidRDefault="00A25BB6" w:rsidP="00A25BB6">
      <w:pPr>
        <w:numPr>
          <w:ilvl w:val="1"/>
          <w:numId w:val="20"/>
        </w:numPr>
        <w:jc w:val="both"/>
        <w:rPr>
          <w:rFonts w:cs="Arial"/>
          <w:szCs w:val="20"/>
        </w:rPr>
      </w:pPr>
      <w:r w:rsidRPr="00F9419E">
        <w:rPr>
          <w:rFonts w:cs="Arial"/>
          <w:szCs w:val="20"/>
        </w:rPr>
        <w:t xml:space="preserve">Documented diagnosis of diarrhea caused by </w:t>
      </w:r>
      <w:r w:rsidRPr="00F9419E">
        <w:rPr>
          <w:rFonts w:cs="Arial"/>
          <w:i/>
          <w:iCs/>
          <w:szCs w:val="20"/>
        </w:rPr>
        <w:t>Giardia lamblia</w:t>
      </w:r>
      <w:r w:rsidRPr="00F9419E">
        <w:rPr>
          <w:rFonts w:cs="Arial"/>
          <w:szCs w:val="20"/>
        </w:rPr>
        <w:t xml:space="preserve"> or </w:t>
      </w:r>
      <w:r w:rsidRPr="00F9419E">
        <w:rPr>
          <w:rFonts w:cs="Arial"/>
          <w:i/>
          <w:iCs/>
          <w:szCs w:val="20"/>
        </w:rPr>
        <w:t>Cryptosporidium parvum</w:t>
      </w:r>
      <w:r w:rsidRPr="00F9419E">
        <w:rPr>
          <w:rFonts w:cs="Arial"/>
          <w:szCs w:val="20"/>
        </w:rPr>
        <w:t xml:space="preserve"> in the past 30 days; </w:t>
      </w:r>
      <w:r w:rsidRPr="00F9419E">
        <w:rPr>
          <w:rFonts w:cs="Arial"/>
          <w:b/>
          <w:bCs/>
          <w:szCs w:val="20"/>
        </w:rPr>
        <w:t>AND</w:t>
      </w:r>
    </w:p>
    <w:p w14:paraId="24595B14" w14:textId="77777777" w:rsidR="00A25BB6" w:rsidRPr="00F9419E" w:rsidRDefault="00A25BB6" w:rsidP="00A25BB6">
      <w:pPr>
        <w:numPr>
          <w:ilvl w:val="1"/>
          <w:numId w:val="20"/>
        </w:numPr>
        <w:jc w:val="both"/>
        <w:rPr>
          <w:rFonts w:cs="Arial"/>
          <w:szCs w:val="20"/>
        </w:rPr>
      </w:pPr>
      <w:r w:rsidRPr="00F9419E">
        <w:rPr>
          <w:rFonts w:cs="Arial"/>
          <w:szCs w:val="20"/>
        </w:rPr>
        <w:t xml:space="preserve">Participant aged 1 year or older. </w:t>
      </w:r>
    </w:p>
    <w:p w14:paraId="1307C44B" w14:textId="77777777" w:rsidR="00A25BB6" w:rsidRPr="00F9419E" w:rsidRDefault="00A25BB6" w:rsidP="00A25BB6">
      <w:pPr>
        <w:numPr>
          <w:ilvl w:val="0"/>
          <w:numId w:val="17"/>
        </w:numPr>
        <w:rPr>
          <w:rFonts w:cs="Arial"/>
          <w:szCs w:val="20"/>
        </w:rPr>
      </w:pPr>
      <w:r w:rsidRPr="00F9419E">
        <w:rPr>
          <w:rFonts w:cs="Arial"/>
          <w:szCs w:val="20"/>
        </w:rPr>
        <w:t xml:space="preserve">Additional approval criteria for paromomycin: </w:t>
      </w:r>
    </w:p>
    <w:p w14:paraId="2C02234D" w14:textId="77777777" w:rsidR="00A25BB6" w:rsidRPr="00F9419E" w:rsidRDefault="00A25BB6" w:rsidP="00A25BB6">
      <w:pPr>
        <w:numPr>
          <w:ilvl w:val="1"/>
          <w:numId w:val="19"/>
        </w:numPr>
        <w:rPr>
          <w:rFonts w:cs="Arial"/>
          <w:szCs w:val="20"/>
        </w:rPr>
      </w:pPr>
      <w:r w:rsidRPr="00F9419E">
        <w:rPr>
          <w:rFonts w:cs="Arial"/>
          <w:szCs w:val="20"/>
        </w:rPr>
        <w:t xml:space="preserve">Documented diagnosis of intestinal amebiasis or hepatic coma in the past 30 days; </w:t>
      </w:r>
      <w:r w:rsidRPr="00F9419E">
        <w:rPr>
          <w:rFonts w:cs="Arial"/>
          <w:b/>
          <w:bCs/>
          <w:szCs w:val="20"/>
        </w:rPr>
        <w:t>AND</w:t>
      </w:r>
    </w:p>
    <w:p w14:paraId="69110155" w14:textId="77777777" w:rsidR="00A25BB6" w:rsidRPr="00F9419E" w:rsidRDefault="00A25BB6" w:rsidP="00A25BB6">
      <w:pPr>
        <w:numPr>
          <w:ilvl w:val="1"/>
          <w:numId w:val="19"/>
        </w:numPr>
        <w:rPr>
          <w:rFonts w:cs="Arial"/>
          <w:szCs w:val="20"/>
        </w:rPr>
      </w:pPr>
      <w:r w:rsidRPr="00F9419E">
        <w:rPr>
          <w:rFonts w:cs="Arial"/>
          <w:szCs w:val="20"/>
        </w:rPr>
        <w:t xml:space="preserve">Participant aged 1 year or older. </w:t>
      </w:r>
    </w:p>
    <w:p w14:paraId="4C6D1B34" w14:textId="77777777" w:rsidR="00A25BB6" w:rsidRPr="00BB3AF2" w:rsidRDefault="00A25BB6" w:rsidP="00A25BB6">
      <w:pPr>
        <w:numPr>
          <w:ilvl w:val="0"/>
          <w:numId w:val="17"/>
        </w:numPr>
        <w:rPr>
          <w:rFonts w:cs="Arial"/>
          <w:b/>
          <w:bCs/>
          <w:strike/>
          <w:color w:val="1F497D" w:themeColor="text2"/>
          <w:szCs w:val="20"/>
        </w:rPr>
      </w:pPr>
      <w:r w:rsidRPr="00BB3AF2">
        <w:rPr>
          <w:rFonts w:cs="Arial"/>
          <w:b/>
          <w:bCs/>
          <w:strike/>
          <w:color w:val="1F497D" w:themeColor="text2"/>
          <w:szCs w:val="20"/>
        </w:rPr>
        <w:t xml:space="preserve">Additional approval criteria for rifaximin 200 mg tablets: </w:t>
      </w:r>
    </w:p>
    <w:p w14:paraId="10B9875D" w14:textId="77777777" w:rsidR="00A25BB6" w:rsidRPr="00BB3AF2" w:rsidRDefault="00A25BB6" w:rsidP="00A25BB6">
      <w:pPr>
        <w:numPr>
          <w:ilvl w:val="0"/>
          <w:numId w:val="18"/>
        </w:numPr>
        <w:rPr>
          <w:rFonts w:cs="Arial"/>
          <w:b/>
          <w:bCs/>
          <w:strike/>
          <w:color w:val="1F497D" w:themeColor="text2"/>
          <w:szCs w:val="20"/>
        </w:rPr>
      </w:pPr>
      <w:r w:rsidRPr="00BB3AF2">
        <w:rPr>
          <w:rFonts w:cs="Arial"/>
          <w:b/>
          <w:bCs/>
          <w:strike/>
          <w:color w:val="1F497D" w:themeColor="text2"/>
          <w:szCs w:val="20"/>
        </w:rPr>
        <w:t>Documented diagnosis of travelers’ diarrhea in the past 30 days;</w:t>
      </w:r>
    </w:p>
    <w:p w14:paraId="388ABCB9" w14:textId="77777777" w:rsidR="00A25BB6" w:rsidRPr="00BB3AF2" w:rsidRDefault="00A25BB6" w:rsidP="00A25BB6">
      <w:pPr>
        <w:pStyle w:val="ListParagraph"/>
        <w:numPr>
          <w:ilvl w:val="0"/>
          <w:numId w:val="18"/>
        </w:numPr>
        <w:rPr>
          <w:rFonts w:cs="Arial"/>
          <w:b/>
          <w:bCs/>
          <w:strike/>
          <w:color w:val="1F497D" w:themeColor="text2"/>
          <w:szCs w:val="20"/>
        </w:rPr>
      </w:pPr>
      <w:r w:rsidRPr="00BB3AF2">
        <w:rPr>
          <w:rFonts w:cs="Arial"/>
          <w:b/>
          <w:bCs/>
          <w:strike/>
          <w:color w:val="1F497D" w:themeColor="text2"/>
          <w:szCs w:val="20"/>
        </w:rPr>
        <w:t>Participant aged 12 years or older;</w:t>
      </w:r>
    </w:p>
    <w:p w14:paraId="3D76D90D" w14:textId="77777777" w:rsidR="00A25BB6" w:rsidRPr="00BB3AF2" w:rsidRDefault="00A25BB6" w:rsidP="00A25BB6">
      <w:pPr>
        <w:pStyle w:val="ListParagraph"/>
        <w:numPr>
          <w:ilvl w:val="0"/>
          <w:numId w:val="18"/>
        </w:numPr>
        <w:rPr>
          <w:rFonts w:cs="Arial"/>
          <w:b/>
          <w:bCs/>
          <w:strike/>
          <w:color w:val="1F497D" w:themeColor="text2"/>
          <w:szCs w:val="20"/>
        </w:rPr>
      </w:pPr>
      <w:r w:rsidRPr="00BB3AF2">
        <w:rPr>
          <w:rFonts w:cs="Arial"/>
          <w:b/>
          <w:bCs/>
          <w:strike/>
          <w:color w:val="1F497D" w:themeColor="text2"/>
          <w:szCs w:val="20"/>
        </w:rPr>
        <w:t>Adequate therapeutic trial of a fluoroquinolone or azithromycin in the past 30 days;</w:t>
      </w:r>
    </w:p>
    <w:p w14:paraId="1371AB61" w14:textId="77777777" w:rsidR="00A25BB6" w:rsidRPr="00BB3AF2" w:rsidRDefault="00A25BB6" w:rsidP="00A25BB6">
      <w:pPr>
        <w:pStyle w:val="ListParagraph"/>
        <w:numPr>
          <w:ilvl w:val="0"/>
          <w:numId w:val="18"/>
        </w:numPr>
        <w:rPr>
          <w:rFonts w:cs="Arial"/>
          <w:b/>
          <w:bCs/>
          <w:strike/>
          <w:color w:val="1F497D" w:themeColor="text2"/>
          <w:szCs w:val="20"/>
        </w:rPr>
      </w:pPr>
      <w:r w:rsidRPr="00BB3AF2">
        <w:rPr>
          <w:rFonts w:cs="Arial"/>
          <w:b/>
          <w:bCs/>
          <w:strike/>
          <w:color w:val="1F497D" w:themeColor="text2"/>
          <w:szCs w:val="20"/>
        </w:rPr>
        <w:t>Dosed at 200 mg three times daily for a duration of ≤ 3 days; AND</w:t>
      </w:r>
    </w:p>
    <w:p w14:paraId="0AC8720C" w14:textId="77777777" w:rsidR="00A25BB6" w:rsidRPr="00BB3AF2" w:rsidRDefault="00A25BB6" w:rsidP="00A25BB6">
      <w:pPr>
        <w:pStyle w:val="ListParagraph"/>
        <w:numPr>
          <w:ilvl w:val="0"/>
          <w:numId w:val="18"/>
        </w:numPr>
        <w:rPr>
          <w:rFonts w:cs="Arial"/>
          <w:b/>
          <w:bCs/>
          <w:strike/>
          <w:color w:val="1F497D" w:themeColor="text2"/>
          <w:szCs w:val="20"/>
        </w:rPr>
      </w:pPr>
      <w:r w:rsidRPr="00BB3AF2">
        <w:rPr>
          <w:rFonts w:cs="Arial"/>
          <w:b/>
          <w:bCs/>
          <w:strike/>
          <w:color w:val="1F497D" w:themeColor="text2"/>
          <w:szCs w:val="20"/>
        </w:rPr>
        <w:t xml:space="preserve">Limit of 1 claim in past 30 days. </w:t>
      </w:r>
    </w:p>
    <w:p w14:paraId="46CBE69D" w14:textId="77777777" w:rsidR="00A25BB6" w:rsidRPr="00BB3AF2" w:rsidRDefault="00A25BB6" w:rsidP="00A25BB6">
      <w:pPr>
        <w:numPr>
          <w:ilvl w:val="0"/>
          <w:numId w:val="17"/>
        </w:numPr>
        <w:rPr>
          <w:rFonts w:cs="Arial"/>
          <w:b/>
          <w:bCs/>
          <w:strike/>
          <w:color w:val="1F497D" w:themeColor="text2"/>
          <w:szCs w:val="20"/>
        </w:rPr>
      </w:pPr>
      <w:r w:rsidRPr="00BB3AF2">
        <w:rPr>
          <w:rFonts w:cs="Arial"/>
          <w:b/>
          <w:bCs/>
          <w:strike/>
          <w:color w:val="1F497D" w:themeColor="text2"/>
          <w:szCs w:val="20"/>
        </w:rPr>
        <w:t>Additional approval criteria for rifaximin 550 mg tablets:</w:t>
      </w:r>
    </w:p>
    <w:p w14:paraId="3B1FB4E4" w14:textId="77777777" w:rsidR="005E5C89" w:rsidRPr="00BB3AF2" w:rsidRDefault="005E5C89" w:rsidP="005E5C89">
      <w:pPr>
        <w:numPr>
          <w:ilvl w:val="1"/>
          <w:numId w:val="17"/>
        </w:numPr>
        <w:rPr>
          <w:rFonts w:cs="Arial"/>
          <w:b/>
          <w:bCs/>
          <w:strike/>
          <w:color w:val="1F497D" w:themeColor="text2"/>
          <w:szCs w:val="20"/>
        </w:rPr>
      </w:pPr>
      <w:r w:rsidRPr="00BB3AF2">
        <w:rPr>
          <w:rFonts w:cs="Arial"/>
          <w:b/>
          <w:bCs/>
          <w:strike/>
          <w:color w:val="1F497D" w:themeColor="text2"/>
          <w:szCs w:val="20"/>
        </w:rPr>
        <w:t>For documented diagnosis of hepatic encephalopathy in the past 2 years:</w:t>
      </w:r>
    </w:p>
    <w:p w14:paraId="4A6B6166" w14:textId="77777777" w:rsidR="005E5C89" w:rsidRPr="00BB3AF2" w:rsidRDefault="005E5C89" w:rsidP="005E5C89">
      <w:pPr>
        <w:numPr>
          <w:ilvl w:val="2"/>
          <w:numId w:val="17"/>
        </w:numPr>
        <w:rPr>
          <w:rFonts w:cs="Arial"/>
          <w:b/>
          <w:bCs/>
          <w:strike/>
          <w:color w:val="1F497D" w:themeColor="text2"/>
          <w:szCs w:val="20"/>
        </w:rPr>
      </w:pPr>
      <w:r w:rsidRPr="00BB3AF2">
        <w:rPr>
          <w:rFonts w:cs="Arial"/>
          <w:b/>
          <w:bCs/>
          <w:strike/>
          <w:color w:val="1F497D" w:themeColor="text2"/>
          <w:szCs w:val="20"/>
        </w:rPr>
        <w:t>Participant aged 18 years or older;</w:t>
      </w:r>
    </w:p>
    <w:p w14:paraId="14846657" w14:textId="77777777" w:rsidR="005E5C89" w:rsidRPr="00BB3AF2" w:rsidRDefault="005E5C89" w:rsidP="005E5C89">
      <w:pPr>
        <w:numPr>
          <w:ilvl w:val="2"/>
          <w:numId w:val="17"/>
        </w:numPr>
        <w:rPr>
          <w:rFonts w:cs="Arial"/>
          <w:b/>
          <w:bCs/>
          <w:strike/>
          <w:color w:val="1F497D" w:themeColor="text2"/>
          <w:szCs w:val="20"/>
        </w:rPr>
      </w:pPr>
      <w:r w:rsidRPr="00BB3AF2">
        <w:rPr>
          <w:rFonts w:cs="Arial"/>
          <w:b/>
          <w:bCs/>
          <w:strike/>
          <w:color w:val="1F497D" w:themeColor="text2"/>
          <w:szCs w:val="20"/>
        </w:rPr>
        <w:t>Adequate therapeutic trial of lactulose or neomycin in the past year; AND</w:t>
      </w:r>
    </w:p>
    <w:p w14:paraId="3656DABE" w14:textId="77777777" w:rsidR="005E5C89" w:rsidRPr="00BB3AF2" w:rsidRDefault="005E5C89" w:rsidP="005E5C89">
      <w:pPr>
        <w:numPr>
          <w:ilvl w:val="2"/>
          <w:numId w:val="17"/>
        </w:numPr>
        <w:rPr>
          <w:rFonts w:cs="Arial"/>
          <w:b/>
          <w:bCs/>
          <w:strike/>
          <w:color w:val="1F497D" w:themeColor="text2"/>
          <w:szCs w:val="20"/>
        </w:rPr>
      </w:pPr>
      <w:r w:rsidRPr="00BB3AF2">
        <w:rPr>
          <w:rFonts w:cs="Arial"/>
          <w:b/>
          <w:bCs/>
          <w:strike/>
          <w:color w:val="1F497D" w:themeColor="text2"/>
          <w:szCs w:val="20"/>
        </w:rPr>
        <w:t xml:space="preserve">Dosed at 550 mg two times daily. </w:t>
      </w:r>
    </w:p>
    <w:p w14:paraId="3D127B46" w14:textId="77777777" w:rsidR="005E5C89" w:rsidRPr="00BB3AF2" w:rsidRDefault="005E5C89" w:rsidP="005E5C89">
      <w:pPr>
        <w:numPr>
          <w:ilvl w:val="1"/>
          <w:numId w:val="17"/>
        </w:numPr>
        <w:rPr>
          <w:rFonts w:cs="Arial"/>
          <w:b/>
          <w:bCs/>
          <w:strike/>
          <w:color w:val="1F497D" w:themeColor="text2"/>
          <w:szCs w:val="20"/>
        </w:rPr>
      </w:pPr>
      <w:r w:rsidRPr="00BB3AF2">
        <w:rPr>
          <w:rFonts w:cs="Arial"/>
          <w:b/>
          <w:bCs/>
          <w:strike/>
          <w:color w:val="1F497D" w:themeColor="text2"/>
          <w:szCs w:val="20"/>
        </w:rPr>
        <w:t>For documented diagnosis of irritable bowel syndrome with diarrhea in the past year:</w:t>
      </w:r>
    </w:p>
    <w:p w14:paraId="090FF484" w14:textId="77777777" w:rsidR="005E5C89" w:rsidRPr="00BB3AF2" w:rsidRDefault="005E5C89" w:rsidP="005E5C89">
      <w:pPr>
        <w:numPr>
          <w:ilvl w:val="2"/>
          <w:numId w:val="17"/>
        </w:numPr>
        <w:rPr>
          <w:rFonts w:cs="Arial"/>
          <w:b/>
          <w:bCs/>
          <w:strike/>
          <w:color w:val="1F497D" w:themeColor="text2"/>
          <w:szCs w:val="20"/>
        </w:rPr>
      </w:pPr>
      <w:r w:rsidRPr="00BB3AF2">
        <w:rPr>
          <w:rFonts w:cs="Arial"/>
          <w:b/>
          <w:bCs/>
          <w:strike/>
          <w:color w:val="1F497D" w:themeColor="text2"/>
          <w:szCs w:val="20"/>
        </w:rPr>
        <w:t>Participant aged 18 years or older;</w:t>
      </w:r>
    </w:p>
    <w:p w14:paraId="44241563" w14:textId="77777777" w:rsidR="005E5C89" w:rsidRPr="00BB3AF2" w:rsidRDefault="005E5C89" w:rsidP="005E5C89">
      <w:pPr>
        <w:numPr>
          <w:ilvl w:val="2"/>
          <w:numId w:val="17"/>
        </w:numPr>
        <w:rPr>
          <w:rFonts w:cs="Arial"/>
          <w:b/>
          <w:bCs/>
          <w:strike/>
          <w:color w:val="1F497D" w:themeColor="text2"/>
          <w:szCs w:val="20"/>
        </w:rPr>
      </w:pPr>
      <w:r w:rsidRPr="00BB3AF2">
        <w:rPr>
          <w:rFonts w:cs="Arial"/>
          <w:b/>
          <w:bCs/>
          <w:strike/>
          <w:color w:val="1F497D" w:themeColor="text2"/>
          <w:szCs w:val="20"/>
        </w:rPr>
        <w:t>Adequate therapeutic trial of 1 or more anti-diarrheal agents in the past 45 days; AND</w:t>
      </w:r>
    </w:p>
    <w:p w14:paraId="375561F7" w14:textId="77777777" w:rsidR="005E5C89" w:rsidRPr="00BB3AF2" w:rsidRDefault="005E5C89" w:rsidP="005E5C89">
      <w:pPr>
        <w:numPr>
          <w:ilvl w:val="2"/>
          <w:numId w:val="17"/>
        </w:numPr>
        <w:rPr>
          <w:rFonts w:cs="Arial"/>
          <w:b/>
          <w:bCs/>
          <w:strike/>
          <w:color w:val="1F497D" w:themeColor="text2"/>
          <w:szCs w:val="20"/>
        </w:rPr>
      </w:pPr>
      <w:r w:rsidRPr="00BB3AF2">
        <w:rPr>
          <w:rFonts w:cs="Arial"/>
          <w:b/>
          <w:bCs/>
          <w:strike/>
          <w:color w:val="1F497D" w:themeColor="text2"/>
          <w:szCs w:val="20"/>
        </w:rPr>
        <w:t xml:space="preserve">Dosed at 550 mg three times daily for a duration of ≤ 14 days. </w:t>
      </w:r>
    </w:p>
    <w:p w14:paraId="619C02E4" w14:textId="77777777" w:rsidR="005E5C89" w:rsidRPr="00BB3AF2" w:rsidRDefault="005E5C89" w:rsidP="005E5C89">
      <w:pPr>
        <w:numPr>
          <w:ilvl w:val="1"/>
          <w:numId w:val="17"/>
        </w:numPr>
        <w:rPr>
          <w:rFonts w:cs="Arial"/>
          <w:b/>
          <w:bCs/>
          <w:strike/>
          <w:color w:val="1F497D" w:themeColor="text2"/>
          <w:szCs w:val="20"/>
        </w:rPr>
      </w:pPr>
      <w:r w:rsidRPr="00BB3AF2">
        <w:rPr>
          <w:rFonts w:cs="Arial"/>
          <w:b/>
          <w:bCs/>
          <w:strike/>
          <w:color w:val="1F497D" w:themeColor="text2"/>
          <w:szCs w:val="20"/>
        </w:rPr>
        <w:t>For documented diagnosis of small intestinal bacterial overgrowth (SIBO) in the past year:</w:t>
      </w:r>
    </w:p>
    <w:p w14:paraId="3927CD94" w14:textId="77777777" w:rsidR="005E5C89" w:rsidRPr="00BB3AF2" w:rsidRDefault="005E5C89" w:rsidP="005E5C89">
      <w:pPr>
        <w:numPr>
          <w:ilvl w:val="2"/>
          <w:numId w:val="17"/>
        </w:numPr>
        <w:rPr>
          <w:rFonts w:cs="Arial"/>
          <w:b/>
          <w:bCs/>
          <w:strike/>
          <w:color w:val="1F497D" w:themeColor="text2"/>
          <w:szCs w:val="20"/>
        </w:rPr>
      </w:pPr>
      <w:r w:rsidRPr="00BB3AF2">
        <w:rPr>
          <w:rFonts w:cs="Arial"/>
          <w:b/>
          <w:bCs/>
          <w:strike/>
          <w:color w:val="1F497D" w:themeColor="text2"/>
          <w:szCs w:val="20"/>
        </w:rPr>
        <w:t>Participant aged 18 years or older;</w:t>
      </w:r>
    </w:p>
    <w:p w14:paraId="47067E0F" w14:textId="77777777" w:rsidR="005E5C89" w:rsidRPr="00BB3AF2" w:rsidRDefault="005E5C89" w:rsidP="005E5C89">
      <w:pPr>
        <w:numPr>
          <w:ilvl w:val="2"/>
          <w:numId w:val="17"/>
        </w:numPr>
        <w:rPr>
          <w:rFonts w:cs="Arial"/>
          <w:b/>
          <w:bCs/>
          <w:strike/>
          <w:color w:val="1F497D" w:themeColor="text2"/>
          <w:szCs w:val="20"/>
        </w:rPr>
      </w:pPr>
      <w:r w:rsidRPr="00BB3AF2">
        <w:rPr>
          <w:rFonts w:cs="Arial"/>
          <w:b/>
          <w:bCs/>
          <w:strike/>
          <w:color w:val="1F497D" w:themeColor="text2"/>
          <w:szCs w:val="20"/>
        </w:rPr>
        <w:t>Adequate therapeutic trial of ciprofloxacin or metronidazole in the past 30 days; AND</w:t>
      </w:r>
    </w:p>
    <w:p w14:paraId="5F1ED060" w14:textId="77777777" w:rsidR="005E5C89" w:rsidRPr="00BB3AF2" w:rsidRDefault="005E5C89" w:rsidP="005E5C89">
      <w:pPr>
        <w:numPr>
          <w:ilvl w:val="2"/>
          <w:numId w:val="17"/>
        </w:numPr>
        <w:rPr>
          <w:rFonts w:cs="Arial"/>
          <w:b/>
          <w:bCs/>
          <w:strike/>
          <w:color w:val="1F497D" w:themeColor="text2"/>
          <w:szCs w:val="20"/>
        </w:rPr>
      </w:pPr>
      <w:r w:rsidRPr="00BB3AF2">
        <w:rPr>
          <w:rFonts w:cs="Arial"/>
          <w:b/>
          <w:bCs/>
          <w:strike/>
          <w:color w:val="1F497D" w:themeColor="text2"/>
          <w:szCs w:val="20"/>
        </w:rPr>
        <w:t>Dosed at 550 mg three times daily for a duration of ≤ 14 days.</w:t>
      </w:r>
    </w:p>
    <w:p w14:paraId="3C2CE54B" w14:textId="77777777" w:rsidR="005E5C89" w:rsidRPr="00F9419E" w:rsidRDefault="005E5C89" w:rsidP="005E5C89">
      <w:pPr>
        <w:pStyle w:val="ListParagraph"/>
        <w:numPr>
          <w:ilvl w:val="0"/>
          <w:numId w:val="22"/>
        </w:numPr>
        <w:ind w:left="360"/>
        <w:rPr>
          <w:rFonts w:cs="Arial"/>
          <w:szCs w:val="20"/>
        </w:rPr>
      </w:pPr>
      <w:r w:rsidRPr="00F9419E">
        <w:rPr>
          <w:rFonts w:cs="Arial"/>
          <w:szCs w:val="20"/>
        </w:rPr>
        <w:t xml:space="preserve">Additional approval criteria for rifamycin: </w:t>
      </w:r>
    </w:p>
    <w:p w14:paraId="21652FBC" w14:textId="77777777" w:rsidR="005E5C89" w:rsidRPr="00126E1C" w:rsidRDefault="005E5C89" w:rsidP="005E5C89">
      <w:pPr>
        <w:pStyle w:val="ListParagraph"/>
        <w:numPr>
          <w:ilvl w:val="0"/>
          <w:numId w:val="21"/>
        </w:numPr>
        <w:rPr>
          <w:rFonts w:cs="Arial"/>
          <w:szCs w:val="20"/>
        </w:rPr>
      </w:pPr>
      <w:r w:rsidRPr="00126E1C">
        <w:rPr>
          <w:rFonts w:cs="Arial"/>
          <w:szCs w:val="20"/>
        </w:rPr>
        <w:t>Documented diagnosis of travelers’ diarrhea in the past 30 days;</w:t>
      </w:r>
    </w:p>
    <w:p w14:paraId="41E50FB2" w14:textId="77777777" w:rsidR="005E5C89" w:rsidRPr="00327605" w:rsidRDefault="005E5C89" w:rsidP="005E5C89">
      <w:pPr>
        <w:pStyle w:val="ListParagraph"/>
        <w:numPr>
          <w:ilvl w:val="0"/>
          <w:numId w:val="21"/>
        </w:numPr>
        <w:rPr>
          <w:rFonts w:cs="Arial"/>
          <w:szCs w:val="20"/>
        </w:rPr>
      </w:pPr>
      <w:r w:rsidRPr="00327605">
        <w:rPr>
          <w:rFonts w:cs="Arial"/>
          <w:szCs w:val="20"/>
        </w:rPr>
        <w:lastRenderedPageBreak/>
        <w:t>Participant aged 18 years or older;</w:t>
      </w:r>
    </w:p>
    <w:p w14:paraId="0B97F5AF" w14:textId="77777777" w:rsidR="005E5C89" w:rsidRPr="00126E1C" w:rsidRDefault="005E5C89" w:rsidP="005E5C89">
      <w:pPr>
        <w:pStyle w:val="ListParagraph"/>
        <w:numPr>
          <w:ilvl w:val="0"/>
          <w:numId w:val="21"/>
        </w:numPr>
        <w:rPr>
          <w:rFonts w:cs="Arial"/>
          <w:szCs w:val="20"/>
        </w:rPr>
      </w:pPr>
      <w:r w:rsidRPr="00126E1C">
        <w:rPr>
          <w:rFonts w:cs="Arial"/>
          <w:szCs w:val="20"/>
        </w:rPr>
        <w:t>Adequate therapeutic trial of a fluoroquinolone OR azithromycin in the past 30 days</w:t>
      </w:r>
      <w:r>
        <w:rPr>
          <w:rFonts w:cs="Arial"/>
          <w:szCs w:val="20"/>
        </w:rPr>
        <w:t>;</w:t>
      </w:r>
    </w:p>
    <w:p w14:paraId="5FB90221" w14:textId="77777777" w:rsidR="005E5C89" w:rsidRPr="00126E1C" w:rsidRDefault="005E5C89" w:rsidP="005E5C89">
      <w:pPr>
        <w:pStyle w:val="ListParagraph"/>
        <w:numPr>
          <w:ilvl w:val="0"/>
          <w:numId w:val="21"/>
        </w:numPr>
        <w:rPr>
          <w:rFonts w:cs="Arial"/>
          <w:szCs w:val="20"/>
        </w:rPr>
      </w:pPr>
      <w:r w:rsidRPr="00126E1C">
        <w:rPr>
          <w:rFonts w:cs="Arial"/>
          <w:szCs w:val="20"/>
        </w:rPr>
        <w:t>Dosed at 388 mg two times daily for a duration of ≤ 3 days</w:t>
      </w:r>
      <w:r>
        <w:rPr>
          <w:rFonts w:cs="Arial"/>
          <w:szCs w:val="20"/>
        </w:rPr>
        <w:t>;</w:t>
      </w:r>
      <w:r w:rsidRPr="00126E1C">
        <w:rPr>
          <w:rFonts w:cs="Arial"/>
          <w:szCs w:val="20"/>
        </w:rPr>
        <w:t xml:space="preserve"> </w:t>
      </w:r>
      <w:r w:rsidRPr="00126E1C">
        <w:rPr>
          <w:rFonts w:cs="Arial"/>
          <w:b/>
          <w:bCs/>
          <w:szCs w:val="20"/>
        </w:rPr>
        <w:t>AND</w:t>
      </w:r>
    </w:p>
    <w:p w14:paraId="579397BC" w14:textId="77777777" w:rsidR="005E5C89" w:rsidRPr="00126E1C" w:rsidRDefault="005E5C89" w:rsidP="005E5C89">
      <w:pPr>
        <w:pStyle w:val="ListParagraph"/>
        <w:numPr>
          <w:ilvl w:val="0"/>
          <w:numId w:val="21"/>
        </w:numPr>
        <w:rPr>
          <w:rFonts w:cs="Arial"/>
          <w:szCs w:val="20"/>
        </w:rPr>
      </w:pPr>
      <w:r w:rsidRPr="00126E1C">
        <w:rPr>
          <w:rFonts w:cs="Arial"/>
          <w:szCs w:val="20"/>
        </w:rPr>
        <w:t>Limit of 1 claim in past 30 days</w:t>
      </w:r>
      <w:r>
        <w:rPr>
          <w:rFonts w:cs="Arial"/>
          <w:szCs w:val="20"/>
        </w:rPr>
        <w:t>.</w:t>
      </w:r>
    </w:p>
    <w:p w14:paraId="5430E8C7" w14:textId="77777777" w:rsidR="005E5C89" w:rsidRPr="00F9419E" w:rsidRDefault="005E5C89" w:rsidP="005E5C89">
      <w:pPr>
        <w:pStyle w:val="ListParagraph"/>
        <w:numPr>
          <w:ilvl w:val="0"/>
          <w:numId w:val="22"/>
        </w:numPr>
        <w:ind w:left="360"/>
        <w:rPr>
          <w:rFonts w:cs="Arial"/>
          <w:szCs w:val="20"/>
        </w:rPr>
      </w:pPr>
      <w:r w:rsidRPr="00F9419E">
        <w:rPr>
          <w:rFonts w:cs="Arial"/>
          <w:szCs w:val="20"/>
        </w:rPr>
        <w:t>Additional approval criteria for tinidazole:</w:t>
      </w:r>
    </w:p>
    <w:p w14:paraId="735F0031" w14:textId="77777777" w:rsidR="005E5C89" w:rsidRDefault="005E5C89" w:rsidP="005E5C89">
      <w:pPr>
        <w:pStyle w:val="ListParagraph"/>
        <w:numPr>
          <w:ilvl w:val="1"/>
          <w:numId w:val="22"/>
        </w:numPr>
        <w:rPr>
          <w:rFonts w:cs="Arial"/>
          <w:szCs w:val="20"/>
        </w:rPr>
      </w:pPr>
      <w:r w:rsidRPr="009768F5">
        <w:rPr>
          <w:rFonts w:cs="Arial"/>
          <w:szCs w:val="20"/>
        </w:rPr>
        <w:t>Documented diagnosis of intestinal amebiasis, amebic liver abscess, bacterial vaginosis, giardiasis, or trichomoniasis in the past 30 days;</w:t>
      </w:r>
    </w:p>
    <w:p w14:paraId="1E975934" w14:textId="77777777" w:rsidR="005E5C89" w:rsidRPr="00B25DE4" w:rsidRDefault="005E5C89" w:rsidP="005E5C89">
      <w:pPr>
        <w:pStyle w:val="ListParagraph"/>
        <w:numPr>
          <w:ilvl w:val="1"/>
          <w:numId w:val="22"/>
        </w:numPr>
        <w:rPr>
          <w:rFonts w:cs="Arial"/>
          <w:szCs w:val="20"/>
        </w:rPr>
      </w:pPr>
      <w:r w:rsidRPr="006442B7">
        <w:rPr>
          <w:rFonts w:cs="Arial"/>
          <w:szCs w:val="20"/>
        </w:rPr>
        <w:t xml:space="preserve">Participant aged 3 years or older; </w:t>
      </w:r>
      <w:r w:rsidRPr="006442B7">
        <w:rPr>
          <w:rFonts w:cs="Arial"/>
          <w:b/>
          <w:bCs/>
          <w:szCs w:val="20"/>
        </w:rPr>
        <w:t>AND</w:t>
      </w:r>
    </w:p>
    <w:p w14:paraId="2F45EE0B" w14:textId="77777777" w:rsidR="005E5C89" w:rsidRPr="00B25DE4" w:rsidRDefault="005E5C89" w:rsidP="005E5C89">
      <w:pPr>
        <w:pStyle w:val="ListParagraph"/>
        <w:numPr>
          <w:ilvl w:val="1"/>
          <w:numId w:val="22"/>
        </w:numPr>
        <w:rPr>
          <w:rFonts w:cs="Arial"/>
          <w:szCs w:val="20"/>
        </w:rPr>
      </w:pPr>
      <w:r w:rsidRPr="00B25DE4">
        <w:rPr>
          <w:rFonts w:cs="Arial"/>
          <w:szCs w:val="20"/>
        </w:rPr>
        <w:t>Adequate therapeutic trial of metronidazole in the past 30 days</w:t>
      </w:r>
      <w:r>
        <w:rPr>
          <w:rFonts w:cs="Arial"/>
          <w:szCs w:val="20"/>
        </w:rPr>
        <w:t>.</w:t>
      </w:r>
    </w:p>
    <w:p w14:paraId="28C9E0C8" w14:textId="77777777" w:rsidR="005E5C89" w:rsidRPr="00294DF1" w:rsidRDefault="005E5C89" w:rsidP="005E5C89">
      <w:pPr>
        <w:pStyle w:val="ListParagraph"/>
        <w:numPr>
          <w:ilvl w:val="0"/>
          <w:numId w:val="22"/>
        </w:numPr>
        <w:ind w:left="360"/>
        <w:rPr>
          <w:rFonts w:cs="Arial"/>
          <w:szCs w:val="20"/>
        </w:rPr>
      </w:pPr>
      <w:r w:rsidRPr="00294DF1">
        <w:rPr>
          <w:rFonts w:cs="Arial"/>
          <w:szCs w:val="20"/>
        </w:rPr>
        <w:t>Additional approval criteria for metronidazole suspension (Likmez)</w:t>
      </w:r>
      <w:r>
        <w:rPr>
          <w:rFonts w:cs="Arial"/>
          <w:szCs w:val="20"/>
        </w:rPr>
        <w:t xml:space="preserve"> – must meet one of the following</w:t>
      </w:r>
      <w:r w:rsidRPr="00294DF1">
        <w:rPr>
          <w:rFonts w:cs="Arial"/>
          <w:szCs w:val="20"/>
        </w:rPr>
        <w:t>:</w:t>
      </w:r>
    </w:p>
    <w:p w14:paraId="63C128C1" w14:textId="77777777" w:rsidR="005E5C89" w:rsidRPr="009B4296" w:rsidRDefault="005E5C89" w:rsidP="005E5C89">
      <w:pPr>
        <w:pStyle w:val="ListParagraph"/>
        <w:numPr>
          <w:ilvl w:val="1"/>
          <w:numId w:val="22"/>
        </w:numPr>
        <w:rPr>
          <w:rFonts w:cs="Arial"/>
          <w:b/>
          <w:bCs/>
          <w:color w:val="1F497D" w:themeColor="text2"/>
          <w:szCs w:val="20"/>
        </w:rPr>
      </w:pPr>
      <w:r w:rsidRPr="009B4296">
        <w:rPr>
          <w:rFonts w:cs="Arial"/>
          <w:b/>
          <w:bCs/>
          <w:color w:val="1F497D" w:themeColor="text2"/>
          <w:szCs w:val="20"/>
        </w:rPr>
        <w:t>Participant is less than 10 years of age; OR</w:t>
      </w:r>
    </w:p>
    <w:p w14:paraId="044554A0" w14:textId="77777777" w:rsidR="005E5C89" w:rsidRDefault="005E5C89" w:rsidP="005E5C89">
      <w:pPr>
        <w:pStyle w:val="ListParagraph"/>
        <w:numPr>
          <w:ilvl w:val="1"/>
          <w:numId w:val="22"/>
        </w:numPr>
        <w:rPr>
          <w:rFonts w:cs="Arial"/>
          <w:szCs w:val="20"/>
        </w:rPr>
      </w:pPr>
      <w:r w:rsidRPr="00294DF1">
        <w:rPr>
          <w:rFonts w:cs="Arial"/>
          <w:szCs w:val="20"/>
        </w:rPr>
        <w:t>Clinical consultant review for medical necessity as to why metronidazole</w:t>
      </w:r>
      <w:r>
        <w:rPr>
          <w:rFonts w:cs="Arial"/>
          <w:szCs w:val="20"/>
        </w:rPr>
        <w:t xml:space="preserve"> </w:t>
      </w:r>
      <w:r w:rsidRPr="009B4296">
        <w:rPr>
          <w:rFonts w:cs="Arial"/>
          <w:b/>
          <w:bCs/>
          <w:color w:val="1F497D" w:themeColor="text2"/>
          <w:szCs w:val="20"/>
        </w:rPr>
        <w:t>250 mg or 500 mg</w:t>
      </w:r>
      <w:r w:rsidRPr="009B4296">
        <w:rPr>
          <w:rFonts w:cs="Arial"/>
          <w:color w:val="1F497D" w:themeColor="text2"/>
          <w:szCs w:val="20"/>
        </w:rPr>
        <w:t xml:space="preserve"> </w:t>
      </w:r>
      <w:r w:rsidRPr="00294DF1">
        <w:rPr>
          <w:rFonts w:cs="Arial"/>
          <w:szCs w:val="20"/>
        </w:rPr>
        <w:t>tablets cannot be utilized.</w:t>
      </w:r>
    </w:p>
    <w:p w14:paraId="02DE6819" w14:textId="764663DB" w:rsidR="00A64950" w:rsidRPr="00410ADE" w:rsidRDefault="00A64950" w:rsidP="00A64950">
      <w:pPr>
        <w:pStyle w:val="ListParagraph"/>
        <w:numPr>
          <w:ilvl w:val="0"/>
          <w:numId w:val="22"/>
        </w:numPr>
        <w:ind w:left="360"/>
        <w:rPr>
          <w:rFonts w:cs="Arial"/>
          <w:b/>
          <w:bCs/>
          <w:color w:val="1F497D" w:themeColor="text2"/>
          <w:szCs w:val="20"/>
        </w:rPr>
      </w:pPr>
      <w:r w:rsidRPr="00410ADE">
        <w:rPr>
          <w:rFonts w:cs="Arial"/>
          <w:b/>
          <w:bCs/>
          <w:color w:val="1F497D" w:themeColor="text2"/>
          <w:szCs w:val="20"/>
        </w:rPr>
        <w:t>Additional approval criteria for metronidazole 125 mg tablet:</w:t>
      </w:r>
    </w:p>
    <w:p w14:paraId="7A2F8700" w14:textId="3987915F" w:rsidR="00A64950" w:rsidRPr="009B4296" w:rsidRDefault="00A64950" w:rsidP="00A64950">
      <w:pPr>
        <w:pStyle w:val="ListParagraph"/>
        <w:numPr>
          <w:ilvl w:val="1"/>
          <w:numId w:val="22"/>
        </w:numPr>
        <w:rPr>
          <w:rFonts w:cs="Arial"/>
          <w:b/>
          <w:bCs/>
          <w:color w:val="1F497D" w:themeColor="text2"/>
          <w:szCs w:val="20"/>
        </w:rPr>
      </w:pPr>
      <w:r w:rsidRPr="009B4296">
        <w:rPr>
          <w:rFonts w:cs="Arial"/>
          <w:b/>
          <w:bCs/>
          <w:color w:val="1F497D" w:themeColor="text2"/>
          <w:szCs w:val="20"/>
        </w:rPr>
        <w:t>Clinical consultant review for medical necessity as to why one-half of a metronidazole 250 mg tablet</w:t>
      </w:r>
      <w:r w:rsidR="003D2346" w:rsidRPr="009B4296">
        <w:rPr>
          <w:rFonts w:cs="Arial"/>
          <w:b/>
          <w:bCs/>
          <w:color w:val="1F497D" w:themeColor="text2"/>
          <w:szCs w:val="20"/>
        </w:rPr>
        <w:t xml:space="preserve"> </w:t>
      </w:r>
      <w:r w:rsidRPr="009B4296">
        <w:rPr>
          <w:rFonts w:cs="Arial"/>
          <w:b/>
          <w:bCs/>
          <w:color w:val="1F497D" w:themeColor="text2"/>
          <w:szCs w:val="20"/>
        </w:rPr>
        <w:t xml:space="preserve">cannot be utilized.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D22EF9" w:rsidRDefault="00904D7A" w:rsidP="00904D7A">
      <w:r w:rsidRPr="00D22EF9">
        <w:t>Therapy will deny with presence of one of the following:</w:t>
      </w:r>
    </w:p>
    <w:p w14:paraId="34DD01B8" w14:textId="55AD3581" w:rsidR="00904D7A" w:rsidRPr="005328B2" w:rsidRDefault="00904D7A" w:rsidP="00904D7A">
      <w:pPr>
        <w:pStyle w:val="ListParagraph"/>
      </w:pPr>
      <w:r w:rsidRPr="005328B2">
        <w:t>Any approval criteria are not met</w:t>
      </w:r>
      <w:r w:rsidR="00D22EF9">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63EAC5C7" w14:textId="77777777" w:rsidR="00D22EF9" w:rsidRPr="00B06E85" w:rsidRDefault="00D22EF9" w:rsidP="00D22EF9">
      <w:pPr>
        <w:numPr>
          <w:ilvl w:val="0"/>
          <w:numId w:val="23"/>
        </w:numPr>
        <w:rPr>
          <w:rFonts w:cs="Arial"/>
          <w:szCs w:val="20"/>
        </w:rPr>
      </w:pPr>
      <w:r w:rsidRPr="00B06E85">
        <w:rPr>
          <w:rFonts w:cs="Arial"/>
          <w:szCs w:val="20"/>
        </w:rPr>
        <w:t>Evidence-Based Medicine Analysis: “Gastrointestinal Antibiotics – Oral”, UMKC-DIC; October 202</w:t>
      </w:r>
      <w:r>
        <w:rPr>
          <w:rFonts w:cs="Arial"/>
          <w:szCs w:val="20"/>
        </w:rPr>
        <w:t>4</w:t>
      </w:r>
      <w:r w:rsidRPr="00B06E85">
        <w:rPr>
          <w:rFonts w:cs="Arial"/>
          <w:szCs w:val="20"/>
        </w:rPr>
        <w:t>.</w:t>
      </w:r>
    </w:p>
    <w:p w14:paraId="40B243BA" w14:textId="77777777" w:rsidR="00D22EF9" w:rsidRPr="00B06E85" w:rsidRDefault="00D22EF9" w:rsidP="00D22EF9">
      <w:pPr>
        <w:numPr>
          <w:ilvl w:val="0"/>
          <w:numId w:val="23"/>
        </w:numPr>
        <w:rPr>
          <w:rFonts w:cs="Arial"/>
          <w:szCs w:val="20"/>
        </w:rPr>
      </w:pPr>
      <w:r w:rsidRPr="00B06E85">
        <w:rPr>
          <w:rFonts w:cs="Arial"/>
          <w:szCs w:val="20"/>
        </w:rPr>
        <w:t>Evidence-Based Medicine and Fiscal Analysis: “Therapeutic Class Review: ANTI-INFECTIVES: GI Antibiotics”, Gainwell Technologies; Last updated November 13, 2023.</w:t>
      </w:r>
    </w:p>
    <w:p w14:paraId="4A8C726B" w14:textId="77777777" w:rsidR="00A64950" w:rsidRPr="00A64950" w:rsidRDefault="00A64950" w:rsidP="00D22EF9">
      <w:pPr>
        <w:numPr>
          <w:ilvl w:val="0"/>
          <w:numId w:val="23"/>
        </w:numPr>
        <w:rPr>
          <w:rFonts w:cs="Arial"/>
        </w:rPr>
      </w:pPr>
      <w:r w:rsidRPr="00A64950">
        <w:rPr>
          <w:rFonts w:cs="Arial"/>
          <w:bCs/>
          <w:szCs w:val="20"/>
        </w:rPr>
        <w:t>McDonald LC, Gerding DN, Johnson S, et al. Clinical Practice Guidelines for Clostridium difficile Infection in Adults and Children: 2017 Update by the Infectious Diseases Society of America (IDSA) and Society for Healthcare Epidemiology of America (SHEA). Clin Infect Dis 2018; 66:e1.</w:t>
      </w:r>
    </w:p>
    <w:p w14:paraId="5A0184B2" w14:textId="1A0B9CD6" w:rsidR="00A64950" w:rsidRPr="00A64950" w:rsidRDefault="00A64950" w:rsidP="00D22EF9">
      <w:pPr>
        <w:numPr>
          <w:ilvl w:val="0"/>
          <w:numId w:val="23"/>
        </w:numPr>
        <w:rPr>
          <w:rStyle w:val="Hyperlink"/>
          <w:rFonts w:cs="Arial"/>
          <w:color w:val="auto"/>
          <w:u w:val="none"/>
        </w:rPr>
      </w:pPr>
      <w:r w:rsidRPr="00A64950">
        <w:rPr>
          <w:rStyle w:val="Hyperlink"/>
          <w:rFonts w:cs="Arial"/>
          <w:color w:val="auto"/>
          <w:szCs w:val="20"/>
          <w:u w:val="none"/>
        </w:rPr>
        <w:t>Johnson S, Lavergne V, Skinner AM, et al. Clinical Practice Guideline by the Infectious Diseases Society of America (IDSA) and Society for Healthcare Epidemiology of America (SHEA): 2021 Focused Update Guidelines on Management of Clostridioides difficile Infection in Adults. Clin Infect Dis 2021; 73:e1029.</w:t>
      </w:r>
    </w:p>
    <w:p w14:paraId="76AC8F1B" w14:textId="10C7BF45" w:rsidR="00D22EF9" w:rsidRDefault="00D22EF9" w:rsidP="00D22EF9">
      <w:pPr>
        <w:numPr>
          <w:ilvl w:val="0"/>
          <w:numId w:val="23"/>
        </w:numPr>
        <w:rPr>
          <w:rFonts w:cs="Arial"/>
        </w:rPr>
      </w:pPr>
      <w:r w:rsidRPr="00BF4E23">
        <w:rPr>
          <w:rFonts w:cs="Arial"/>
          <w:szCs w:val="20"/>
        </w:rPr>
        <w:t>USPDI, Micromedex; 202</w:t>
      </w:r>
      <w:r>
        <w:rPr>
          <w:rFonts w:cs="Arial"/>
          <w:szCs w:val="20"/>
        </w:rPr>
        <w:t>5</w:t>
      </w:r>
      <w:r w:rsidRPr="00BF4E23">
        <w:rPr>
          <w:rFonts w:cs="Arial"/>
          <w:szCs w:val="20"/>
        </w:rPr>
        <w:t xml:space="preserve">. </w:t>
      </w:r>
      <w:bookmarkStart w:id="2" w:name="_Hlk45607827"/>
    </w:p>
    <w:p w14:paraId="54FAEDED" w14:textId="53B7C009" w:rsidR="00D22EF9" w:rsidRPr="00E148A6" w:rsidRDefault="00D22EF9" w:rsidP="00D22EF9">
      <w:pPr>
        <w:numPr>
          <w:ilvl w:val="0"/>
          <w:numId w:val="23"/>
        </w:numPr>
        <w:rPr>
          <w:rFonts w:cs="Arial"/>
        </w:rPr>
      </w:pPr>
      <w:r w:rsidRPr="00BF4E23">
        <w:rPr>
          <w:rFonts w:cs="Arial"/>
          <w:szCs w:val="20"/>
        </w:rPr>
        <w:t>Facts and Comparisons eAnswers (online); 202</w:t>
      </w:r>
      <w:r>
        <w:rPr>
          <w:rFonts w:cs="Arial"/>
          <w:szCs w:val="20"/>
        </w:rPr>
        <w:t>5</w:t>
      </w:r>
      <w:r w:rsidRPr="00BF4E23">
        <w:rPr>
          <w:rFonts w:cs="Arial"/>
          <w:szCs w:val="20"/>
        </w:rPr>
        <w:t xml:space="preserve"> Clinical Drug Information, LLC. </w:t>
      </w:r>
      <w:bookmarkEnd w:id="2"/>
    </w:p>
    <w:sectPr w:rsidR="00D22EF9" w:rsidRPr="00E148A6"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BF57" w14:textId="77777777" w:rsidR="007055DC" w:rsidRPr="00C02553" w:rsidRDefault="007055DC" w:rsidP="00AE77DB">
      <w:r w:rsidRPr="00C02553">
        <w:separator/>
      </w:r>
    </w:p>
  </w:endnote>
  <w:endnote w:type="continuationSeparator" w:id="0">
    <w:p w14:paraId="6132ED66" w14:textId="77777777" w:rsidR="007055DC" w:rsidRPr="00C02553" w:rsidRDefault="007055DC" w:rsidP="00AE77DB">
      <w:r w:rsidRPr="00C02553">
        <w:continuationSeparator/>
      </w:r>
    </w:p>
  </w:endnote>
  <w:endnote w:type="continuationNotice" w:id="1">
    <w:p w14:paraId="5F7C8572" w14:textId="77777777" w:rsidR="007055DC" w:rsidRPr="00C02553" w:rsidRDefault="00705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6B5B" w14:textId="77777777" w:rsidR="007055DC" w:rsidRPr="00C02553" w:rsidRDefault="007055DC" w:rsidP="00AE77DB">
      <w:r w:rsidRPr="00C02553">
        <w:separator/>
      </w:r>
    </w:p>
  </w:footnote>
  <w:footnote w:type="continuationSeparator" w:id="0">
    <w:p w14:paraId="0966EE6B" w14:textId="77777777" w:rsidR="007055DC" w:rsidRPr="00C02553" w:rsidRDefault="007055DC" w:rsidP="00AE77DB">
      <w:r w:rsidRPr="00C02553">
        <w:continuationSeparator/>
      </w:r>
    </w:p>
  </w:footnote>
  <w:footnote w:type="continuationNotice" w:id="1">
    <w:p w14:paraId="29F95201" w14:textId="77777777" w:rsidR="007055DC" w:rsidRPr="00C02553" w:rsidRDefault="00705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000000">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000000">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3"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000000">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824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C76871A4"/>
    <w:lvl w:ilvl="0" w:tplc="2C62F8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A0972"/>
    <w:multiLevelType w:val="hybridMultilevel"/>
    <w:tmpl w:val="24F2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14DCD"/>
    <w:multiLevelType w:val="hybridMultilevel"/>
    <w:tmpl w:val="F3BE883E"/>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6D30B33"/>
    <w:multiLevelType w:val="hybridMultilevel"/>
    <w:tmpl w:val="84EA7D42"/>
    <w:lvl w:ilvl="0" w:tplc="B442FB0C">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F3032D"/>
    <w:multiLevelType w:val="hybridMultilevel"/>
    <w:tmpl w:val="975C48AA"/>
    <w:lvl w:ilvl="0" w:tplc="03E4B48E">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F74CE"/>
    <w:multiLevelType w:val="hybridMultilevel"/>
    <w:tmpl w:val="B084254E"/>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643976"/>
    <w:multiLevelType w:val="hybridMultilevel"/>
    <w:tmpl w:val="066A9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8D091A"/>
    <w:multiLevelType w:val="hybridMultilevel"/>
    <w:tmpl w:val="96C0E53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0B268E3"/>
    <w:multiLevelType w:val="hybridMultilevel"/>
    <w:tmpl w:val="13CC00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2"/>
  </w:num>
  <w:num w:numId="3" w16cid:durableId="1729067566">
    <w:abstractNumId w:val="4"/>
  </w:num>
  <w:num w:numId="4" w16cid:durableId="320159068">
    <w:abstractNumId w:val="8"/>
  </w:num>
  <w:num w:numId="5" w16cid:durableId="1769498754">
    <w:abstractNumId w:val="3"/>
  </w:num>
  <w:num w:numId="6" w16cid:durableId="1094596320">
    <w:abstractNumId w:val="19"/>
  </w:num>
  <w:num w:numId="7" w16cid:durableId="2110008555">
    <w:abstractNumId w:val="2"/>
  </w:num>
  <w:num w:numId="8" w16cid:durableId="489712751">
    <w:abstractNumId w:val="7"/>
  </w:num>
  <w:num w:numId="9" w16cid:durableId="1085147965">
    <w:abstractNumId w:val="13"/>
  </w:num>
  <w:num w:numId="10" w16cid:durableId="917518096">
    <w:abstractNumId w:val="9"/>
  </w:num>
  <w:num w:numId="11" w16cid:durableId="1894998475">
    <w:abstractNumId w:val="1"/>
  </w:num>
  <w:num w:numId="12" w16cid:durableId="1418215296">
    <w:abstractNumId w:val="21"/>
  </w:num>
  <w:num w:numId="13" w16cid:durableId="604729665">
    <w:abstractNumId w:val="6"/>
  </w:num>
  <w:num w:numId="14" w16cid:durableId="1805081292">
    <w:abstractNumId w:val="18"/>
  </w:num>
  <w:num w:numId="15" w16cid:durableId="1203598347">
    <w:abstractNumId w:val="10"/>
  </w:num>
  <w:num w:numId="16" w16cid:durableId="1324242589">
    <w:abstractNumId w:val="5"/>
  </w:num>
  <w:num w:numId="17" w16cid:durableId="1681156096">
    <w:abstractNumId w:val="16"/>
  </w:num>
  <w:num w:numId="18" w16cid:durableId="1145203177">
    <w:abstractNumId w:val="20"/>
  </w:num>
  <w:num w:numId="19" w16cid:durableId="1271550352">
    <w:abstractNumId w:val="15"/>
  </w:num>
  <w:num w:numId="20" w16cid:durableId="161162652">
    <w:abstractNumId w:val="11"/>
  </w:num>
  <w:num w:numId="21" w16cid:durableId="413282723">
    <w:abstractNumId w:val="14"/>
  </w:num>
  <w:num w:numId="22" w16cid:durableId="1963728942">
    <w:abstractNumId w:val="12"/>
  </w:num>
  <w:num w:numId="23" w16cid:durableId="699016720">
    <w:abstractNumId w:val="17"/>
  </w:num>
  <w:num w:numId="24" w16cid:durableId="931474665">
    <w:abstractNumId w:val="19"/>
  </w:num>
  <w:num w:numId="25" w16cid:durableId="155519428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6A61"/>
    <w:rsid w:val="000276D9"/>
    <w:rsid w:val="00031B81"/>
    <w:rsid w:val="000344C5"/>
    <w:rsid w:val="00034E02"/>
    <w:rsid w:val="00040AD3"/>
    <w:rsid w:val="00053807"/>
    <w:rsid w:val="000572E5"/>
    <w:rsid w:val="00057F84"/>
    <w:rsid w:val="00061541"/>
    <w:rsid w:val="00064162"/>
    <w:rsid w:val="00065C22"/>
    <w:rsid w:val="0007214E"/>
    <w:rsid w:val="00074464"/>
    <w:rsid w:val="00076030"/>
    <w:rsid w:val="00082590"/>
    <w:rsid w:val="000913C3"/>
    <w:rsid w:val="000953B9"/>
    <w:rsid w:val="000A413B"/>
    <w:rsid w:val="000A6279"/>
    <w:rsid w:val="000B496B"/>
    <w:rsid w:val="000C3940"/>
    <w:rsid w:val="000C5992"/>
    <w:rsid w:val="000D2D94"/>
    <w:rsid w:val="000D47CC"/>
    <w:rsid w:val="000E1479"/>
    <w:rsid w:val="000E231E"/>
    <w:rsid w:val="000E247D"/>
    <w:rsid w:val="000E6B14"/>
    <w:rsid w:val="000E70D8"/>
    <w:rsid w:val="000F070B"/>
    <w:rsid w:val="001062F6"/>
    <w:rsid w:val="00112FC7"/>
    <w:rsid w:val="001201C8"/>
    <w:rsid w:val="00125F5F"/>
    <w:rsid w:val="00126951"/>
    <w:rsid w:val="00126B60"/>
    <w:rsid w:val="00127EF6"/>
    <w:rsid w:val="001310AD"/>
    <w:rsid w:val="001314A5"/>
    <w:rsid w:val="00132C7F"/>
    <w:rsid w:val="00137450"/>
    <w:rsid w:val="00144DBE"/>
    <w:rsid w:val="00152C8B"/>
    <w:rsid w:val="0015636A"/>
    <w:rsid w:val="00164606"/>
    <w:rsid w:val="00170B6E"/>
    <w:rsid w:val="00172053"/>
    <w:rsid w:val="00174F94"/>
    <w:rsid w:val="001761FF"/>
    <w:rsid w:val="00177A80"/>
    <w:rsid w:val="001A50CB"/>
    <w:rsid w:val="001A74B7"/>
    <w:rsid w:val="001B2D47"/>
    <w:rsid w:val="001C0250"/>
    <w:rsid w:val="001C6DA4"/>
    <w:rsid w:val="001C73B1"/>
    <w:rsid w:val="001D1E7D"/>
    <w:rsid w:val="001D6567"/>
    <w:rsid w:val="001E2CCB"/>
    <w:rsid w:val="001E4CBA"/>
    <w:rsid w:val="001E523C"/>
    <w:rsid w:val="001E538E"/>
    <w:rsid w:val="001E61DF"/>
    <w:rsid w:val="001F2B9F"/>
    <w:rsid w:val="001F5954"/>
    <w:rsid w:val="00202DD3"/>
    <w:rsid w:val="00206E7D"/>
    <w:rsid w:val="00211D39"/>
    <w:rsid w:val="00217E14"/>
    <w:rsid w:val="00217EFD"/>
    <w:rsid w:val="00222134"/>
    <w:rsid w:val="0022233F"/>
    <w:rsid w:val="00226275"/>
    <w:rsid w:val="00246564"/>
    <w:rsid w:val="00246A3B"/>
    <w:rsid w:val="00255404"/>
    <w:rsid w:val="0025594F"/>
    <w:rsid w:val="002703BA"/>
    <w:rsid w:val="00270C5E"/>
    <w:rsid w:val="002853B3"/>
    <w:rsid w:val="00290A03"/>
    <w:rsid w:val="0029159A"/>
    <w:rsid w:val="00291600"/>
    <w:rsid w:val="002A02F4"/>
    <w:rsid w:val="002B1512"/>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5ABB"/>
    <w:rsid w:val="003878C1"/>
    <w:rsid w:val="00396C0B"/>
    <w:rsid w:val="003A630F"/>
    <w:rsid w:val="003B3958"/>
    <w:rsid w:val="003B4820"/>
    <w:rsid w:val="003B5F4B"/>
    <w:rsid w:val="003B682F"/>
    <w:rsid w:val="003C53FC"/>
    <w:rsid w:val="003C7013"/>
    <w:rsid w:val="003D2346"/>
    <w:rsid w:val="003D641B"/>
    <w:rsid w:val="003F227C"/>
    <w:rsid w:val="00400F88"/>
    <w:rsid w:val="004019B5"/>
    <w:rsid w:val="004023CC"/>
    <w:rsid w:val="00407564"/>
    <w:rsid w:val="00410ADE"/>
    <w:rsid w:val="00411152"/>
    <w:rsid w:val="004156AA"/>
    <w:rsid w:val="004232B5"/>
    <w:rsid w:val="004253A1"/>
    <w:rsid w:val="004313B6"/>
    <w:rsid w:val="00433339"/>
    <w:rsid w:val="004459BD"/>
    <w:rsid w:val="00446BBC"/>
    <w:rsid w:val="004472C0"/>
    <w:rsid w:val="00450705"/>
    <w:rsid w:val="00451928"/>
    <w:rsid w:val="0046618B"/>
    <w:rsid w:val="00485942"/>
    <w:rsid w:val="0048608C"/>
    <w:rsid w:val="00496E57"/>
    <w:rsid w:val="004B3E10"/>
    <w:rsid w:val="004C0F5D"/>
    <w:rsid w:val="004C375A"/>
    <w:rsid w:val="004C4954"/>
    <w:rsid w:val="004C5767"/>
    <w:rsid w:val="004D5322"/>
    <w:rsid w:val="004D78B0"/>
    <w:rsid w:val="004E1737"/>
    <w:rsid w:val="004E611F"/>
    <w:rsid w:val="004F2A79"/>
    <w:rsid w:val="004F4D37"/>
    <w:rsid w:val="00501A14"/>
    <w:rsid w:val="00501DE3"/>
    <w:rsid w:val="005058CB"/>
    <w:rsid w:val="0051044D"/>
    <w:rsid w:val="005139E4"/>
    <w:rsid w:val="00515075"/>
    <w:rsid w:val="00517D03"/>
    <w:rsid w:val="00520FE9"/>
    <w:rsid w:val="005233E7"/>
    <w:rsid w:val="005328B2"/>
    <w:rsid w:val="00535BD5"/>
    <w:rsid w:val="00540977"/>
    <w:rsid w:val="00551668"/>
    <w:rsid w:val="005572D5"/>
    <w:rsid w:val="00566BE4"/>
    <w:rsid w:val="00570D21"/>
    <w:rsid w:val="005741C9"/>
    <w:rsid w:val="00576113"/>
    <w:rsid w:val="00590652"/>
    <w:rsid w:val="0059235F"/>
    <w:rsid w:val="00596936"/>
    <w:rsid w:val="005A2F1E"/>
    <w:rsid w:val="005A4232"/>
    <w:rsid w:val="005C3616"/>
    <w:rsid w:val="005D36B2"/>
    <w:rsid w:val="005D52E7"/>
    <w:rsid w:val="005D78B5"/>
    <w:rsid w:val="005E3572"/>
    <w:rsid w:val="005E45E4"/>
    <w:rsid w:val="005E5C89"/>
    <w:rsid w:val="005F0A81"/>
    <w:rsid w:val="005F0FCF"/>
    <w:rsid w:val="005F286B"/>
    <w:rsid w:val="0060042F"/>
    <w:rsid w:val="006008BC"/>
    <w:rsid w:val="00602CFD"/>
    <w:rsid w:val="00606B55"/>
    <w:rsid w:val="00612A7B"/>
    <w:rsid w:val="00614FFE"/>
    <w:rsid w:val="00616353"/>
    <w:rsid w:val="00616E5E"/>
    <w:rsid w:val="006173A4"/>
    <w:rsid w:val="00617E50"/>
    <w:rsid w:val="006205AD"/>
    <w:rsid w:val="00625C3A"/>
    <w:rsid w:val="00630094"/>
    <w:rsid w:val="00635DDB"/>
    <w:rsid w:val="0064149A"/>
    <w:rsid w:val="00646DFE"/>
    <w:rsid w:val="00650530"/>
    <w:rsid w:val="00650C96"/>
    <w:rsid w:val="00653788"/>
    <w:rsid w:val="0065477F"/>
    <w:rsid w:val="006554DE"/>
    <w:rsid w:val="00656896"/>
    <w:rsid w:val="00661656"/>
    <w:rsid w:val="0066374F"/>
    <w:rsid w:val="00677C51"/>
    <w:rsid w:val="00677C65"/>
    <w:rsid w:val="00693152"/>
    <w:rsid w:val="00694FAE"/>
    <w:rsid w:val="00696E3A"/>
    <w:rsid w:val="006A0834"/>
    <w:rsid w:val="006A2C27"/>
    <w:rsid w:val="006A4BBD"/>
    <w:rsid w:val="006A52F1"/>
    <w:rsid w:val="006B561D"/>
    <w:rsid w:val="006B6D5D"/>
    <w:rsid w:val="006D2330"/>
    <w:rsid w:val="006E0F8B"/>
    <w:rsid w:val="006E12F7"/>
    <w:rsid w:val="006E29D7"/>
    <w:rsid w:val="007055DC"/>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84BCA"/>
    <w:rsid w:val="00792DF0"/>
    <w:rsid w:val="0079438F"/>
    <w:rsid w:val="007A1AEC"/>
    <w:rsid w:val="007A3034"/>
    <w:rsid w:val="007A42DC"/>
    <w:rsid w:val="007A527E"/>
    <w:rsid w:val="007A53E7"/>
    <w:rsid w:val="007A78F7"/>
    <w:rsid w:val="007B3333"/>
    <w:rsid w:val="007B379F"/>
    <w:rsid w:val="007B37D6"/>
    <w:rsid w:val="007B525A"/>
    <w:rsid w:val="007B5D30"/>
    <w:rsid w:val="007D2920"/>
    <w:rsid w:val="007D42DD"/>
    <w:rsid w:val="007E6A37"/>
    <w:rsid w:val="007F1774"/>
    <w:rsid w:val="00811A70"/>
    <w:rsid w:val="0081406E"/>
    <w:rsid w:val="00832211"/>
    <w:rsid w:val="008325F4"/>
    <w:rsid w:val="00832AC8"/>
    <w:rsid w:val="00833ED1"/>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241E1"/>
    <w:rsid w:val="00935918"/>
    <w:rsid w:val="00935EC3"/>
    <w:rsid w:val="009374C3"/>
    <w:rsid w:val="009418B3"/>
    <w:rsid w:val="00951097"/>
    <w:rsid w:val="00953C1E"/>
    <w:rsid w:val="0096210F"/>
    <w:rsid w:val="00962633"/>
    <w:rsid w:val="00963187"/>
    <w:rsid w:val="00963ACF"/>
    <w:rsid w:val="00963D1C"/>
    <w:rsid w:val="00964284"/>
    <w:rsid w:val="0097028A"/>
    <w:rsid w:val="00973BD6"/>
    <w:rsid w:val="00973FF9"/>
    <w:rsid w:val="00984549"/>
    <w:rsid w:val="00985D28"/>
    <w:rsid w:val="009912F3"/>
    <w:rsid w:val="00991BF0"/>
    <w:rsid w:val="0099761B"/>
    <w:rsid w:val="009A0FB1"/>
    <w:rsid w:val="009A1FAC"/>
    <w:rsid w:val="009B001A"/>
    <w:rsid w:val="009B1A62"/>
    <w:rsid w:val="009B4296"/>
    <w:rsid w:val="009C3CC7"/>
    <w:rsid w:val="009C5FFA"/>
    <w:rsid w:val="009D2057"/>
    <w:rsid w:val="009D3D6C"/>
    <w:rsid w:val="009D5551"/>
    <w:rsid w:val="009D62DB"/>
    <w:rsid w:val="009E3B42"/>
    <w:rsid w:val="00A05B60"/>
    <w:rsid w:val="00A13266"/>
    <w:rsid w:val="00A14FA6"/>
    <w:rsid w:val="00A15D64"/>
    <w:rsid w:val="00A20575"/>
    <w:rsid w:val="00A25BB6"/>
    <w:rsid w:val="00A32452"/>
    <w:rsid w:val="00A32BBF"/>
    <w:rsid w:val="00A37444"/>
    <w:rsid w:val="00A40FD9"/>
    <w:rsid w:val="00A4281A"/>
    <w:rsid w:val="00A43A9C"/>
    <w:rsid w:val="00A459CF"/>
    <w:rsid w:val="00A5014D"/>
    <w:rsid w:val="00A53E96"/>
    <w:rsid w:val="00A56F18"/>
    <w:rsid w:val="00A57A08"/>
    <w:rsid w:val="00A60C2F"/>
    <w:rsid w:val="00A628F8"/>
    <w:rsid w:val="00A62BAA"/>
    <w:rsid w:val="00A64950"/>
    <w:rsid w:val="00A66172"/>
    <w:rsid w:val="00A744C3"/>
    <w:rsid w:val="00AA70AB"/>
    <w:rsid w:val="00AB0B9F"/>
    <w:rsid w:val="00AB1713"/>
    <w:rsid w:val="00AB63BE"/>
    <w:rsid w:val="00AC1EBC"/>
    <w:rsid w:val="00AC2599"/>
    <w:rsid w:val="00AC2DE9"/>
    <w:rsid w:val="00AD2C5F"/>
    <w:rsid w:val="00AE1481"/>
    <w:rsid w:val="00AE27F9"/>
    <w:rsid w:val="00AE77DB"/>
    <w:rsid w:val="00AF7453"/>
    <w:rsid w:val="00B00601"/>
    <w:rsid w:val="00B00FFF"/>
    <w:rsid w:val="00B06084"/>
    <w:rsid w:val="00B16735"/>
    <w:rsid w:val="00B17EDE"/>
    <w:rsid w:val="00B22585"/>
    <w:rsid w:val="00B3128B"/>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A712E"/>
    <w:rsid w:val="00BB3AF2"/>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1018C"/>
    <w:rsid w:val="00C1150E"/>
    <w:rsid w:val="00C145B8"/>
    <w:rsid w:val="00C14D52"/>
    <w:rsid w:val="00C2586C"/>
    <w:rsid w:val="00C26001"/>
    <w:rsid w:val="00C34E72"/>
    <w:rsid w:val="00C55C6D"/>
    <w:rsid w:val="00C56B1F"/>
    <w:rsid w:val="00C61B52"/>
    <w:rsid w:val="00C62745"/>
    <w:rsid w:val="00C63095"/>
    <w:rsid w:val="00C654CA"/>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2EF9"/>
    <w:rsid w:val="00D250D9"/>
    <w:rsid w:val="00D27533"/>
    <w:rsid w:val="00D30E1B"/>
    <w:rsid w:val="00D42DA3"/>
    <w:rsid w:val="00D4546D"/>
    <w:rsid w:val="00D47996"/>
    <w:rsid w:val="00D61118"/>
    <w:rsid w:val="00D614F1"/>
    <w:rsid w:val="00D70D50"/>
    <w:rsid w:val="00D71917"/>
    <w:rsid w:val="00D96314"/>
    <w:rsid w:val="00DA3A0F"/>
    <w:rsid w:val="00DA4E62"/>
    <w:rsid w:val="00DA6990"/>
    <w:rsid w:val="00DB27BA"/>
    <w:rsid w:val="00DB337A"/>
    <w:rsid w:val="00DC51CB"/>
    <w:rsid w:val="00DD4819"/>
    <w:rsid w:val="00DD4B8A"/>
    <w:rsid w:val="00DD5403"/>
    <w:rsid w:val="00DE1388"/>
    <w:rsid w:val="00DE2182"/>
    <w:rsid w:val="00DE6136"/>
    <w:rsid w:val="00DE7501"/>
    <w:rsid w:val="00DF3146"/>
    <w:rsid w:val="00DF57C3"/>
    <w:rsid w:val="00E008D9"/>
    <w:rsid w:val="00E02FE0"/>
    <w:rsid w:val="00E07ABE"/>
    <w:rsid w:val="00E11A3F"/>
    <w:rsid w:val="00E1386E"/>
    <w:rsid w:val="00E16D1E"/>
    <w:rsid w:val="00E2369B"/>
    <w:rsid w:val="00E23EC0"/>
    <w:rsid w:val="00E26717"/>
    <w:rsid w:val="00E354AA"/>
    <w:rsid w:val="00E43D54"/>
    <w:rsid w:val="00E442FB"/>
    <w:rsid w:val="00E529DB"/>
    <w:rsid w:val="00E53A5E"/>
    <w:rsid w:val="00E6466A"/>
    <w:rsid w:val="00E72221"/>
    <w:rsid w:val="00E83428"/>
    <w:rsid w:val="00E84C58"/>
    <w:rsid w:val="00E873A5"/>
    <w:rsid w:val="00E90D11"/>
    <w:rsid w:val="00E915E5"/>
    <w:rsid w:val="00E96C3A"/>
    <w:rsid w:val="00EB0367"/>
    <w:rsid w:val="00EB4FB9"/>
    <w:rsid w:val="00EB5BC8"/>
    <w:rsid w:val="00EC2738"/>
    <w:rsid w:val="00EC3269"/>
    <w:rsid w:val="00ED2C62"/>
    <w:rsid w:val="00ED62DD"/>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0D2F"/>
    <w:rsid w:val="00F54C08"/>
    <w:rsid w:val="00F553A2"/>
    <w:rsid w:val="00F6068C"/>
    <w:rsid w:val="00F62F33"/>
    <w:rsid w:val="00F63A52"/>
    <w:rsid w:val="00F730BA"/>
    <w:rsid w:val="00F8226A"/>
    <w:rsid w:val="00F903BE"/>
    <w:rsid w:val="00F95D04"/>
    <w:rsid w:val="00FA16EC"/>
    <w:rsid w:val="00FA2811"/>
    <w:rsid w:val="00FA4837"/>
    <w:rsid w:val="00FB1A93"/>
    <w:rsid w:val="00FB1D33"/>
    <w:rsid w:val="00FB5E96"/>
    <w:rsid w:val="00FC05A0"/>
    <w:rsid w:val="00FC6758"/>
    <w:rsid w:val="00FD34EA"/>
    <w:rsid w:val="00FD60D9"/>
    <w:rsid w:val="00FE35C6"/>
    <w:rsid w:val="00FE3F3E"/>
    <w:rsid w:val="00FE4D52"/>
    <w:rsid w:val="00FE5AEE"/>
    <w:rsid w:val="00FF106B"/>
    <w:rsid w:val="61F882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CF75E4F9-C089-4BFC-B566-2F68C966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630094"/>
    <w:rPr>
      <w:sz w:val="16"/>
      <w:szCs w:val="16"/>
    </w:rPr>
  </w:style>
  <w:style w:type="paragraph" w:styleId="CommentSubject">
    <w:name w:val="annotation subject"/>
    <w:basedOn w:val="CommentText"/>
    <w:next w:val="CommentText"/>
    <w:link w:val="CommentSubjectChar"/>
    <w:uiPriority w:val="99"/>
    <w:semiHidden/>
    <w:unhideWhenUsed/>
    <w:rsid w:val="00630094"/>
    <w:rPr>
      <w:b/>
      <w:bCs/>
    </w:rPr>
  </w:style>
  <w:style w:type="character" w:customStyle="1" w:styleId="CommentTextChar">
    <w:name w:val="Comment Text Char"/>
    <w:basedOn w:val="DefaultParagraphFont"/>
    <w:link w:val="CommentText"/>
    <w:semiHidden/>
    <w:rsid w:val="00630094"/>
    <w:rPr>
      <w:rFonts w:ascii="Arial" w:hAnsi="Arial"/>
    </w:rPr>
  </w:style>
  <w:style w:type="character" w:customStyle="1" w:styleId="CommentSubjectChar">
    <w:name w:val="Comment Subject Char"/>
    <w:basedOn w:val="CommentTextChar"/>
    <w:link w:val="CommentSubject"/>
    <w:uiPriority w:val="99"/>
    <w:semiHidden/>
    <w:rsid w:val="00630094"/>
    <w:rPr>
      <w:rFonts w:ascii="Arial" w:hAnsi="Arial"/>
      <w:b/>
      <w:bCs/>
    </w:rPr>
  </w:style>
  <w:style w:type="paragraph" w:styleId="Revision">
    <w:name w:val="Revision"/>
    <w:hidden/>
    <w:uiPriority w:val="99"/>
    <w:semiHidden/>
    <w:rsid w:val="00F8226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24EC7-337C-4939-99F3-88ABCBD4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1127</Words>
  <Characters>6426</Characters>
  <Application>Microsoft Office Word</Application>
  <DocSecurity>0</DocSecurity>
  <Lines>53</Lines>
  <Paragraphs>15</Paragraphs>
  <ScaleCrop>false</ScaleCrop>
  <Company>DSS</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Antibiotics, Gastrointestinal (GI) Oral PDL Edit</dc:title>
  <dc:subject/>
  <dc:creator>DMS</dc:creator>
  <cp:keywords/>
  <cp:lastModifiedBy>Morsches, Phuonglinh</cp:lastModifiedBy>
  <cp:revision>44</cp:revision>
  <cp:lastPrinted>2018-10-31T22:17:00Z</cp:lastPrinted>
  <dcterms:created xsi:type="dcterms:W3CDTF">2025-12-12T23:01:00Z</dcterms:created>
  <dcterms:modified xsi:type="dcterms:W3CDTF">2025-12-17T04:10:00Z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