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03F73786" w:rsidR="004C5767" w:rsidRPr="008859E1" w:rsidRDefault="004C5767" w:rsidP="00D27533">
      <w:pPr>
        <w:pStyle w:val="tbody"/>
        <w:rPr>
          <w:b w:val="0"/>
          <w:bCs/>
        </w:rPr>
      </w:pPr>
      <w:r w:rsidRPr="00C02553">
        <w:t>Drug/Drug Class:</w:t>
      </w:r>
      <w:r w:rsidR="003B4820" w:rsidRPr="00573856">
        <w:rPr>
          <w:b w:val="0"/>
          <w:bCs/>
        </w:rPr>
        <w:t xml:space="preserve"> </w:t>
      </w:r>
      <w:r w:rsidR="00B33407" w:rsidRPr="00B33407">
        <w:rPr>
          <w:b w:val="0"/>
          <w:bCs/>
        </w:rPr>
        <w:t>Anti-Parkinsonism Non-Ergot Dopamine Agonists PDL Edit</w:t>
      </w:r>
    </w:p>
    <w:p w14:paraId="7AD7FFCE" w14:textId="227898E5" w:rsidR="004C5767" w:rsidRPr="00C02553" w:rsidRDefault="004C5767" w:rsidP="00D27533">
      <w:pPr>
        <w:pStyle w:val="tbody"/>
      </w:pPr>
      <w:r w:rsidRPr="00C02553">
        <w:t>First Implementation Date:</w:t>
      </w:r>
      <w:r w:rsidRPr="00573856">
        <w:rPr>
          <w:b w:val="0"/>
          <w:bCs/>
        </w:rPr>
        <w:t xml:space="preserve"> </w:t>
      </w:r>
      <w:r w:rsidR="00CE154E" w:rsidRPr="00CE154E">
        <w:rPr>
          <w:b w:val="0"/>
          <w:bCs/>
        </w:rPr>
        <w:t>December 26, 2007</w:t>
      </w:r>
    </w:p>
    <w:p w14:paraId="4B7D760D" w14:textId="77F84E4D" w:rsidR="004C5767" w:rsidRPr="00057F84" w:rsidRDefault="00F41F69" w:rsidP="70E341D6">
      <w:pPr>
        <w:pStyle w:val="tbody"/>
        <w:rPr>
          <w:b w:val="0"/>
        </w:rPr>
      </w:pPr>
      <w:r>
        <w:t>Propo</w:t>
      </w:r>
      <w:r w:rsidR="004C5767">
        <w:t>sed Date:</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9F57F0B" w:rsidR="004C5767" w:rsidRPr="00D27533" w:rsidRDefault="004C5767" w:rsidP="00D27533">
      <w:pPr>
        <w:pStyle w:val="tbody"/>
        <w:rPr>
          <w:b w:val="0"/>
          <w:bCs/>
          <w:spacing w:val="-3"/>
        </w:rPr>
      </w:pPr>
      <w:r w:rsidRPr="00C02553">
        <w:t xml:space="preserve">Criteria Status: </w:t>
      </w:r>
      <w:r w:rsidR="0011401A" w:rsidRPr="0011401A">
        <w:rPr>
          <w:b w:val="0"/>
          <w:bCs/>
        </w:rPr>
        <w:t>Revision of</w:t>
      </w:r>
      <w:r w:rsidR="0011401A">
        <w:t xml:space="preserve">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5C9871A3" w14:textId="77777777" w:rsidR="00C428B5" w:rsidRPr="00165BD7" w:rsidRDefault="00C428B5" w:rsidP="00C428B5">
      <w:pPr>
        <w:pStyle w:val="Header"/>
        <w:tabs>
          <w:tab w:val="clear" w:pos="4320"/>
          <w:tab w:val="clear" w:pos="8640"/>
        </w:tabs>
        <w:spacing w:line="240" w:lineRule="exact"/>
        <w:rPr>
          <w:rFonts w:cs="Arial"/>
          <w:sz w:val="20"/>
        </w:rPr>
      </w:pPr>
      <w:r w:rsidRPr="00165BD7">
        <w:rPr>
          <w:rFonts w:cs="Arial"/>
          <w:spacing w:val="-3"/>
          <w:sz w:val="20"/>
        </w:rPr>
        <w:t xml:space="preserve">Parkinson’s disease (PD) is a progressive, neurodegenerative disorder with cardinal motor features of tremor, bradykinesia, </w:t>
      </w:r>
      <w:r w:rsidRPr="00165BD7">
        <w:rPr>
          <w:rFonts w:cs="Arial"/>
          <w:noProof/>
          <w:spacing w:val="-3"/>
          <w:sz w:val="20"/>
        </w:rPr>
        <w:t>and</w:t>
      </w:r>
      <w:r w:rsidRPr="00165BD7">
        <w:rPr>
          <w:rFonts w:cs="Arial"/>
          <w:spacing w:val="-3"/>
          <w:sz w:val="20"/>
        </w:rPr>
        <w:t xml:space="preserve"> rigidity. The disease affects more than 1.5 million Americans older than 50 years of age with the incidence </w:t>
      </w:r>
      <w:r w:rsidRPr="00165BD7">
        <w:rPr>
          <w:rFonts w:cs="Arial"/>
          <w:noProof/>
          <w:spacing w:val="-3"/>
          <w:sz w:val="20"/>
        </w:rPr>
        <w:t>increasing</w:t>
      </w:r>
      <w:r w:rsidRPr="00165BD7">
        <w:rPr>
          <w:rFonts w:cs="Arial"/>
          <w:spacing w:val="-3"/>
          <w:sz w:val="20"/>
        </w:rPr>
        <w:t xml:space="preserve"> significantly with age. Despite advances in treatments over the years, there is no cure for Parkinson’s. Symptomatic therapy can provide benefit for quite some time, but slow progression eventually results in significant disability. PD is characterized by a </w:t>
      </w:r>
      <w:r w:rsidRPr="00165BD7">
        <w:rPr>
          <w:rFonts w:cs="Arial"/>
          <w:noProof/>
          <w:spacing w:val="-3"/>
          <w:sz w:val="20"/>
        </w:rPr>
        <w:t>striatal</w:t>
      </w:r>
      <w:r w:rsidRPr="00165BD7">
        <w:rPr>
          <w:rFonts w:cs="Arial"/>
          <w:spacing w:val="-3"/>
          <w:sz w:val="20"/>
        </w:rPr>
        <w:t xml:space="preserve"> dopamine deficiency. The degeneration of dopamine-containing neurons in the substantia nigra leads to the </w:t>
      </w:r>
      <w:r w:rsidRPr="00165BD7">
        <w:rPr>
          <w:rFonts w:cs="Arial"/>
          <w:noProof/>
          <w:spacing w:val="-3"/>
          <w:sz w:val="20"/>
        </w:rPr>
        <w:t>formation</w:t>
      </w:r>
      <w:r w:rsidRPr="00165BD7">
        <w:rPr>
          <w:rFonts w:cs="Arial"/>
          <w:spacing w:val="-3"/>
          <w:sz w:val="20"/>
        </w:rPr>
        <w:t xml:space="preserve"> of Lewy bodies – intracellular neuronal inclusion bodies. A major treatment breakthrough was the replacement of dopamine in the brain by using levodopa. Although it provides benefit to nearly all PD patients, long-term use of levodopa is complicated by the development of motor fluctuations, dyskinesias, and neuropsychiatric complications. </w:t>
      </w:r>
    </w:p>
    <w:p w14:paraId="5F4C56F9" w14:textId="77777777" w:rsidR="00C428B5" w:rsidRPr="00165BD7" w:rsidRDefault="00C428B5" w:rsidP="00C428B5">
      <w:pPr>
        <w:pStyle w:val="Header"/>
        <w:tabs>
          <w:tab w:val="clear" w:pos="4320"/>
          <w:tab w:val="clear" w:pos="8640"/>
        </w:tabs>
        <w:spacing w:line="240" w:lineRule="exact"/>
        <w:rPr>
          <w:rFonts w:cs="Arial"/>
          <w:sz w:val="20"/>
        </w:rPr>
      </w:pPr>
    </w:p>
    <w:p w14:paraId="0EB189B8" w14:textId="77777777" w:rsidR="00C428B5" w:rsidRPr="007E6CFB" w:rsidRDefault="00C428B5" w:rsidP="00C428B5">
      <w:pPr>
        <w:pStyle w:val="Header"/>
        <w:tabs>
          <w:tab w:val="clear" w:pos="4320"/>
          <w:tab w:val="clear" w:pos="8640"/>
        </w:tabs>
        <w:spacing w:line="240" w:lineRule="exact"/>
        <w:rPr>
          <w:rFonts w:cs="Arial"/>
          <w:sz w:val="20"/>
        </w:rPr>
      </w:pPr>
      <w:r w:rsidRPr="00165BD7">
        <w:rPr>
          <w:rFonts w:cs="Arial"/>
          <w:spacing w:val="-3"/>
          <w:sz w:val="20"/>
        </w:rPr>
        <w:t>Dopamine agonists are often used as initial therapy in early PD. These agents have a levodopa-sparing effect and can reduce the frequency of off-periods. These agents are also FDA approved to treat restless legs syndrome (RLS), in which patients experience irrepressible sensations in the legs or arms while sitting or lying still.</w:t>
      </w:r>
      <w:r w:rsidRPr="007E6CFB">
        <w:rPr>
          <w:rFonts w:cs="Arial"/>
          <w:spacing w:val="-3"/>
          <w:sz w:val="20"/>
        </w:rPr>
        <w:t xml:space="preserve">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6CE712CA" w14:textId="77777777" w:rsidR="002302B1" w:rsidRPr="00165BD7" w:rsidRDefault="002302B1" w:rsidP="002302B1">
      <w:pPr>
        <w:pStyle w:val="ListParagraph"/>
      </w:pPr>
      <w:r w:rsidRPr="00165BD7">
        <w:t>Amantadine</w:t>
      </w:r>
    </w:p>
    <w:p w14:paraId="77C8C3F8" w14:textId="77777777" w:rsidR="002302B1" w:rsidRPr="00165BD7" w:rsidRDefault="002302B1" w:rsidP="002302B1">
      <w:pPr>
        <w:pStyle w:val="ListParagraph"/>
      </w:pPr>
      <w:r w:rsidRPr="00165BD7">
        <w:t xml:space="preserve">Pramipexole </w:t>
      </w:r>
    </w:p>
    <w:p w14:paraId="1B21829C" w14:textId="7E784EDA" w:rsidR="00846FA4" w:rsidRDefault="002302B1" w:rsidP="001F150B">
      <w:pPr>
        <w:pStyle w:val="ListParagraph"/>
      </w:pPr>
      <w:r w:rsidRPr="00165BD7">
        <w:t xml:space="preserve">Ropinirole </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27D85516" w14:textId="77777777" w:rsidR="00046FBA" w:rsidRPr="00BF60B0" w:rsidRDefault="00046FBA" w:rsidP="00046FBA">
      <w:pPr>
        <w:pStyle w:val="ListParagraph"/>
      </w:pPr>
      <w:r w:rsidRPr="00BF60B0">
        <w:t>Apokyn</w:t>
      </w:r>
      <w:r w:rsidRPr="00BF60B0">
        <w:rPr>
          <w:vertAlign w:val="superscript"/>
        </w:rPr>
        <w:t>®</w:t>
      </w:r>
    </w:p>
    <w:p w14:paraId="3144EBC9" w14:textId="77777777" w:rsidR="00046FBA" w:rsidRPr="00BF60B0" w:rsidRDefault="00046FBA" w:rsidP="00046FBA">
      <w:pPr>
        <w:pStyle w:val="ListParagraph"/>
      </w:pPr>
      <w:r w:rsidRPr="00BF60B0">
        <w:t>Apomorphine</w:t>
      </w:r>
    </w:p>
    <w:p w14:paraId="3C1639BD" w14:textId="77777777" w:rsidR="00046FBA" w:rsidRPr="00BF60B0" w:rsidRDefault="00046FBA" w:rsidP="00046FBA">
      <w:pPr>
        <w:pStyle w:val="ListParagraph"/>
      </w:pPr>
      <w:r w:rsidRPr="00BF60B0">
        <w:t>Gocovri</w:t>
      </w:r>
      <w:r w:rsidRPr="00BF60B0">
        <w:rPr>
          <w:vertAlign w:val="superscript"/>
        </w:rPr>
        <w:t>®</w:t>
      </w:r>
    </w:p>
    <w:p w14:paraId="30CEAC90" w14:textId="77777777" w:rsidR="00046FBA" w:rsidRPr="00BF60B0" w:rsidRDefault="00046FBA" w:rsidP="00046FBA">
      <w:pPr>
        <w:pStyle w:val="ListParagraph"/>
      </w:pPr>
      <w:r w:rsidRPr="00BF60B0">
        <w:t>Neupro</w:t>
      </w:r>
      <w:r w:rsidRPr="00BF60B0">
        <w:rPr>
          <w:vertAlign w:val="superscript"/>
        </w:rPr>
        <w:t>®</w:t>
      </w:r>
    </w:p>
    <w:p w14:paraId="2B2D4621" w14:textId="066D3CB9" w:rsidR="00FA4C98" w:rsidRPr="00FA4C98" w:rsidRDefault="00FA4C98" w:rsidP="00046FBA">
      <w:pPr>
        <w:pStyle w:val="ListParagraph"/>
        <w:rPr>
          <w:b/>
          <w:bCs/>
          <w:color w:val="1F497D" w:themeColor="text2"/>
        </w:rPr>
      </w:pPr>
      <w:r w:rsidRPr="00FA4C98">
        <w:rPr>
          <w:b/>
          <w:bCs/>
          <w:color w:val="1F497D" w:themeColor="text2"/>
        </w:rPr>
        <w:t>Onapgo™</w:t>
      </w:r>
    </w:p>
    <w:p w14:paraId="4CD95AF8" w14:textId="77777777" w:rsidR="00046FBA" w:rsidRPr="00BF60B0" w:rsidRDefault="00046FBA" w:rsidP="00046FBA">
      <w:pPr>
        <w:pStyle w:val="ListParagraph"/>
      </w:pPr>
      <w:r w:rsidRPr="00BF60B0">
        <w:t xml:space="preserve">Pramipexole ER </w:t>
      </w:r>
    </w:p>
    <w:p w14:paraId="079F807A" w14:textId="732687F0" w:rsidR="00846FA4" w:rsidRPr="00696E3A" w:rsidRDefault="00046FBA" w:rsidP="00046FBA">
      <w:pPr>
        <w:pStyle w:val="ListParagraph"/>
      </w:pPr>
      <w:r w:rsidRPr="00BF60B0">
        <w:t xml:space="preserve">Ropinirole </w:t>
      </w:r>
      <w:r>
        <w:t>ER</w:t>
      </w:r>
    </w:p>
    <w:p w14:paraId="6D696800" w14:textId="28E4C3DB" w:rsidR="00E23EC0" w:rsidRDefault="00E23EC0" w:rsidP="00314430">
      <w:pPr>
        <w:rPr>
          <w:rFonts w:cs="Arial"/>
          <w:spacing w:val="-3"/>
          <w:szCs w:val="20"/>
        </w:rPr>
      </w:pPr>
    </w:p>
    <w:p w14:paraId="4220A6E4" w14:textId="77777777" w:rsidR="00021608" w:rsidRPr="002C2C41" w:rsidRDefault="00021608"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lastRenderedPageBreak/>
        <w:t xml:space="preserve">Setting &amp; Population </w:t>
      </w:r>
    </w:p>
    <w:p w14:paraId="04B7FBFB" w14:textId="2DEEF468" w:rsidR="0097028A" w:rsidRPr="0079438F" w:rsidRDefault="0097028A" w:rsidP="00696E3A">
      <w:pPr>
        <w:rPr>
          <w:b/>
        </w:rPr>
      </w:pPr>
      <w:r w:rsidRPr="00696E3A">
        <w:rPr>
          <w:b/>
          <w:bCs/>
        </w:rPr>
        <w:t>Drug class for review:</w:t>
      </w:r>
      <w:r w:rsidRPr="00C02553">
        <w:t xml:space="preserve"> </w:t>
      </w:r>
      <w:r w:rsidR="00B47A4C" w:rsidRPr="0085135C">
        <w:rPr>
          <w:rFonts w:cs="Arial"/>
          <w:szCs w:val="20"/>
        </w:rPr>
        <w:t>Anti-Parkinsonism Non-Ergot Dopamine Agonists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2B9FC408" w14:textId="77777777" w:rsidR="00040914" w:rsidRDefault="00040914" w:rsidP="00040914">
      <w:pPr>
        <w:pStyle w:val="ListParagraph"/>
        <w:numPr>
          <w:ilvl w:val="0"/>
          <w:numId w:val="18"/>
        </w:numPr>
        <w:jc w:val="both"/>
        <w:rPr>
          <w:rFonts w:cs="Arial"/>
          <w:bCs/>
          <w:szCs w:val="20"/>
        </w:rPr>
      </w:pPr>
      <w:r w:rsidRPr="00D40409">
        <w:rPr>
          <w:rFonts w:cs="Arial"/>
          <w:bCs/>
          <w:szCs w:val="20"/>
        </w:rPr>
        <w:t xml:space="preserve">Must meet </w:t>
      </w:r>
      <w:r>
        <w:rPr>
          <w:rFonts w:cs="Arial"/>
          <w:bCs/>
          <w:szCs w:val="20"/>
        </w:rPr>
        <w:t>one</w:t>
      </w:r>
      <w:r w:rsidRPr="00D40409">
        <w:rPr>
          <w:rFonts w:cs="Arial"/>
          <w:bCs/>
          <w:szCs w:val="20"/>
        </w:rPr>
        <w:t xml:space="preserve"> of the following:</w:t>
      </w:r>
    </w:p>
    <w:p w14:paraId="2B3033DC" w14:textId="77777777" w:rsidR="00040914" w:rsidRPr="00EF4356" w:rsidRDefault="00040914" w:rsidP="00040914">
      <w:pPr>
        <w:pStyle w:val="ListParagraph"/>
        <w:numPr>
          <w:ilvl w:val="1"/>
          <w:numId w:val="18"/>
        </w:numPr>
        <w:jc w:val="both"/>
        <w:rPr>
          <w:rFonts w:cs="Arial"/>
          <w:bCs/>
          <w:szCs w:val="20"/>
        </w:rPr>
      </w:pPr>
      <w:r w:rsidRPr="00EF4356">
        <w:rPr>
          <w:rFonts w:cs="Arial"/>
          <w:bCs/>
          <w:szCs w:val="20"/>
        </w:rPr>
        <w:t>Claim is for a preferred agent</w:t>
      </w:r>
      <w:r>
        <w:rPr>
          <w:rFonts w:cs="Arial"/>
          <w:bCs/>
          <w:szCs w:val="20"/>
        </w:rPr>
        <w:t xml:space="preserve">; </w:t>
      </w:r>
      <w:r>
        <w:rPr>
          <w:rFonts w:cs="Arial"/>
          <w:b/>
          <w:szCs w:val="20"/>
        </w:rPr>
        <w:t>OR</w:t>
      </w:r>
    </w:p>
    <w:p w14:paraId="7342474D" w14:textId="77777777" w:rsidR="00040914" w:rsidRPr="00EF4356" w:rsidRDefault="00040914" w:rsidP="00040914">
      <w:pPr>
        <w:pStyle w:val="ListParagraph"/>
        <w:numPr>
          <w:ilvl w:val="1"/>
          <w:numId w:val="17"/>
        </w:numPr>
        <w:rPr>
          <w:rFonts w:cs="Arial"/>
          <w:szCs w:val="20"/>
        </w:rPr>
      </w:pPr>
      <w:r w:rsidRPr="0000260C">
        <w:rPr>
          <w:rFonts w:cs="Arial"/>
        </w:rPr>
        <w:t xml:space="preserve">Failure to achieve desired therapeutic outcomes with trial on </w:t>
      </w:r>
      <w:r>
        <w:rPr>
          <w:rFonts w:cs="Arial"/>
        </w:rPr>
        <w:t>2</w:t>
      </w:r>
      <w:r w:rsidRPr="0000260C">
        <w:rPr>
          <w:rFonts w:cs="Arial"/>
        </w:rPr>
        <w:t xml:space="preserve"> or more preferred agents</w:t>
      </w:r>
      <w:r w:rsidRPr="00EF4356">
        <w:rPr>
          <w:rFonts w:cs="Arial"/>
        </w:rPr>
        <w:t>;</w:t>
      </w:r>
      <w:r w:rsidRPr="0000260C">
        <w:rPr>
          <w:rFonts w:cs="Arial"/>
        </w:rPr>
        <w:t xml:space="preserve"> </w:t>
      </w:r>
    </w:p>
    <w:p w14:paraId="50B640A5" w14:textId="77777777" w:rsidR="00040914" w:rsidRPr="0000260C" w:rsidRDefault="00040914" w:rsidP="00040914">
      <w:pPr>
        <w:numPr>
          <w:ilvl w:val="2"/>
          <w:numId w:val="17"/>
        </w:numPr>
        <w:tabs>
          <w:tab w:val="clear" w:pos="1440"/>
          <w:tab w:val="num" w:pos="1080"/>
        </w:tabs>
        <w:ind w:left="1080"/>
        <w:jc w:val="both"/>
        <w:rPr>
          <w:rFonts w:cs="Arial"/>
        </w:rPr>
      </w:pPr>
      <w:r w:rsidRPr="0000260C">
        <w:rPr>
          <w:rFonts w:cs="Arial"/>
        </w:rPr>
        <w:t>Documented trial period for preferred agents</w:t>
      </w:r>
      <w:r>
        <w:rPr>
          <w:rFonts w:cs="Arial"/>
        </w:rPr>
        <w:t xml:space="preserve">; </w:t>
      </w:r>
      <w:r>
        <w:rPr>
          <w:rFonts w:cs="Arial"/>
          <w:b/>
          <w:bCs/>
        </w:rPr>
        <w:t>OR</w:t>
      </w:r>
    </w:p>
    <w:p w14:paraId="1F4B5D3B" w14:textId="181EB151" w:rsidR="00635DDB" w:rsidRDefault="00040914" w:rsidP="0056083F">
      <w:pPr>
        <w:numPr>
          <w:ilvl w:val="2"/>
          <w:numId w:val="17"/>
        </w:numPr>
        <w:tabs>
          <w:tab w:val="clear" w:pos="1440"/>
          <w:tab w:val="num" w:pos="1080"/>
        </w:tabs>
        <w:ind w:left="1080"/>
        <w:jc w:val="both"/>
        <w:rPr>
          <w:rFonts w:cs="Arial"/>
        </w:rPr>
      </w:pPr>
      <w:r w:rsidRPr="0000260C">
        <w:rPr>
          <w:rFonts w:cs="Arial"/>
        </w:rPr>
        <w:t>Documented ADE/ADR to preferred agents</w:t>
      </w:r>
      <w:r>
        <w:rPr>
          <w:rFonts w:cs="Arial"/>
        </w:rPr>
        <w:t xml:space="preserve">.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35A7A198" w14:textId="77777777" w:rsidR="0049403D" w:rsidRDefault="0049403D" w:rsidP="0049403D">
      <w:pPr>
        <w:numPr>
          <w:ilvl w:val="0"/>
          <w:numId w:val="19"/>
        </w:numPr>
        <w:tabs>
          <w:tab w:val="clear" w:pos="1080"/>
          <w:tab w:val="num" w:pos="360"/>
        </w:tabs>
        <w:ind w:left="360"/>
        <w:rPr>
          <w:rFonts w:cs="Arial"/>
        </w:rPr>
      </w:pPr>
      <w:r>
        <w:rPr>
          <w:rFonts w:cs="Arial"/>
        </w:rPr>
        <w:t xml:space="preserve">Therapy will deny with presence of one of the following: </w:t>
      </w:r>
    </w:p>
    <w:p w14:paraId="45453E8E" w14:textId="71CEC1D5" w:rsidR="00334952" w:rsidRDefault="0049403D" w:rsidP="00334952">
      <w:pPr>
        <w:numPr>
          <w:ilvl w:val="1"/>
          <w:numId w:val="19"/>
        </w:numPr>
        <w:rPr>
          <w:rFonts w:cs="Arial"/>
        </w:rPr>
      </w:pPr>
      <w:r>
        <w:rPr>
          <w:rFonts w:cs="Arial"/>
        </w:rPr>
        <w:t xml:space="preserve">Any approval criteria are not met; </w:t>
      </w:r>
      <w:r w:rsidR="00593F95" w:rsidRPr="009365FC">
        <w:rPr>
          <w:rFonts w:cs="Arial"/>
          <w:b/>
          <w:bCs/>
        </w:rPr>
        <w:t>OR</w:t>
      </w:r>
    </w:p>
    <w:p w14:paraId="41A8FF66" w14:textId="77777777" w:rsidR="0049403D" w:rsidRPr="008E7628" w:rsidRDefault="0049403D" w:rsidP="0049403D">
      <w:pPr>
        <w:numPr>
          <w:ilvl w:val="1"/>
          <w:numId w:val="19"/>
        </w:numPr>
        <w:rPr>
          <w:rFonts w:cs="Arial"/>
        </w:rPr>
      </w:pPr>
      <w:r w:rsidRPr="008E7628">
        <w:rPr>
          <w:rFonts w:cs="Arial"/>
        </w:rPr>
        <w:t>Claim exceeds maximum dosing limitations on the following:</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340"/>
        <w:gridCol w:w="3240"/>
      </w:tblGrid>
      <w:tr w:rsidR="0049403D" w:rsidRPr="007C4BEB" w14:paraId="7107B348" w14:textId="77777777" w:rsidTr="00C4003D">
        <w:trPr>
          <w:jc w:val="center"/>
        </w:trPr>
        <w:tc>
          <w:tcPr>
            <w:tcW w:w="3600" w:type="dxa"/>
            <w:shd w:val="clear" w:color="auto" w:fill="FABF8F" w:themeFill="accent6" w:themeFillTint="99"/>
            <w:vAlign w:val="bottom"/>
          </w:tcPr>
          <w:p w14:paraId="0B5AC0CD" w14:textId="77777777" w:rsidR="0049403D" w:rsidRPr="00D15F65" w:rsidRDefault="0049403D" w:rsidP="00C4003D">
            <w:pPr>
              <w:rPr>
                <w:rFonts w:cs="Arial"/>
                <w:b/>
                <w:szCs w:val="20"/>
              </w:rPr>
            </w:pPr>
            <w:bookmarkStart w:id="1" w:name="_Hlk63838290"/>
            <w:r w:rsidRPr="00D15F65">
              <w:rPr>
                <w:rFonts w:cs="Arial"/>
                <w:b/>
                <w:szCs w:val="20"/>
              </w:rPr>
              <w:t>Drug Description</w:t>
            </w:r>
          </w:p>
        </w:tc>
        <w:tc>
          <w:tcPr>
            <w:tcW w:w="2340" w:type="dxa"/>
            <w:shd w:val="clear" w:color="auto" w:fill="FABF8F" w:themeFill="accent6" w:themeFillTint="99"/>
            <w:vAlign w:val="bottom"/>
          </w:tcPr>
          <w:p w14:paraId="33A33CA9" w14:textId="77777777" w:rsidR="0049403D" w:rsidRPr="007C4BEB" w:rsidRDefault="0049403D" w:rsidP="00C4003D">
            <w:pPr>
              <w:rPr>
                <w:rFonts w:cs="Arial"/>
                <w:b/>
                <w:szCs w:val="20"/>
              </w:rPr>
            </w:pPr>
            <w:r w:rsidRPr="007C4BEB">
              <w:rPr>
                <w:rFonts w:cs="Arial"/>
                <w:b/>
                <w:szCs w:val="20"/>
              </w:rPr>
              <w:t>Generic Equivalent</w:t>
            </w:r>
          </w:p>
        </w:tc>
        <w:tc>
          <w:tcPr>
            <w:tcW w:w="3240" w:type="dxa"/>
            <w:shd w:val="clear" w:color="auto" w:fill="FABF8F" w:themeFill="accent6" w:themeFillTint="99"/>
          </w:tcPr>
          <w:p w14:paraId="185ADE1D" w14:textId="77777777" w:rsidR="0049403D" w:rsidRPr="007C4BEB" w:rsidRDefault="0049403D" w:rsidP="00C4003D">
            <w:pPr>
              <w:rPr>
                <w:rFonts w:cs="Arial"/>
                <w:b/>
                <w:szCs w:val="20"/>
              </w:rPr>
            </w:pPr>
            <w:r w:rsidRPr="007C4BEB">
              <w:rPr>
                <w:rFonts w:cs="Arial"/>
                <w:b/>
                <w:szCs w:val="20"/>
              </w:rPr>
              <w:t xml:space="preserve">Maximum </w:t>
            </w:r>
            <w:r>
              <w:rPr>
                <w:rFonts w:cs="Arial"/>
                <w:b/>
                <w:szCs w:val="20"/>
              </w:rPr>
              <w:t>Dosing Limitations</w:t>
            </w:r>
          </w:p>
        </w:tc>
      </w:tr>
      <w:tr w:rsidR="0049403D" w:rsidRPr="007C4BEB" w14:paraId="69108F75" w14:textId="77777777" w:rsidTr="00C4003D">
        <w:trPr>
          <w:jc w:val="center"/>
        </w:trPr>
        <w:tc>
          <w:tcPr>
            <w:tcW w:w="3600" w:type="dxa"/>
            <w:vAlign w:val="bottom"/>
          </w:tcPr>
          <w:p w14:paraId="4F75CC90" w14:textId="77777777" w:rsidR="0049403D" w:rsidRPr="008E7628" w:rsidRDefault="0049403D" w:rsidP="00C4003D">
            <w:pPr>
              <w:rPr>
                <w:rFonts w:cs="Arial"/>
                <w:bCs/>
                <w:szCs w:val="20"/>
              </w:rPr>
            </w:pPr>
            <w:r w:rsidRPr="008E7628">
              <w:rPr>
                <w:rFonts w:cs="Arial"/>
                <w:bCs/>
                <w:szCs w:val="20"/>
              </w:rPr>
              <w:t>GOCOVRI ER 68.5 MG CAPSULE</w:t>
            </w:r>
          </w:p>
        </w:tc>
        <w:tc>
          <w:tcPr>
            <w:tcW w:w="2340" w:type="dxa"/>
            <w:vAlign w:val="bottom"/>
          </w:tcPr>
          <w:p w14:paraId="75359071" w14:textId="77777777" w:rsidR="0049403D" w:rsidRPr="008E7628" w:rsidRDefault="0049403D" w:rsidP="00C4003D">
            <w:pPr>
              <w:rPr>
                <w:rFonts w:cs="Arial"/>
                <w:bCs/>
                <w:caps/>
                <w:szCs w:val="20"/>
              </w:rPr>
            </w:pPr>
            <w:r w:rsidRPr="008E7628">
              <w:rPr>
                <w:rFonts w:cs="Arial"/>
                <w:bCs/>
                <w:caps/>
                <w:szCs w:val="20"/>
              </w:rPr>
              <w:t>AMANTADINE HCL</w:t>
            </w:r>
          </w:p>
        </w:tc>
        <w:tc>
          <w:tcPr>
            <w:tcW w:w="3240" w:type="dxa"/>
          </w:tcPr>
          <w:p w14:paraId="22F340FB" w14:textId="77777777" w:rsidR="0049403D" w:rsidRPr="008E7628" w:rsidRDefault="0049403D" w:rsidP="00C4003D">
            <w:pPr>
              <w:rPr>
                <w:rFonts w:cs="Arial"/>
                <w:bCs/>
                <w:szCs w:val="20"/>
              </w:rPr>
            </w:pPr>
            <w:r w:rsidRPr="008E7628">
              <w:rPr>
                <w:rFonts w:cs="Arial"/>
                <w:bCs/>
                <w:szCs w:val="20"/>
              </w:rPr>
              <w:t>1 capsule per day</w:t>
            </w:r>
          </w:p>
        </w:tc>
      </w:tr>
      <w:tr w:rsidR="0049403D" w:rsidRPr="007C4BEB" w14:paraId="68A0F1C4" w14:textId="77777777" w:rsidTr="00C4003D">
        <w:trPr>
          <w:jc w:val="center"/>
        </w:trPr>
        <w:tc>
          <w:tcPr>
            <w:tcW w:w="3600" w:type="dxa"/>
            <w:vAlign w:val="bottom"/>
          </w:tcPr>
          <w:p w14:paraId="3B5C7723" w14:textId="77777777" w:rsidR="0049403D" w:rsidRPr="008E7628" w:rsidRDefault="0049403D" w:rsidP="00C4003D">
            <w:pPr>
              <w:rPr>
                <w:rFonts w:cs="Arial"/>
                <w:bCs/>
                <w:szCs w:val="20"/>
              </w:rPr>
            </w:pPr>
            <w:r w:rsidRPr="008E7628">
              <w:rPr>
                <w:rFonts w:cs="Arial"/>
                <w:bCs/>
                <w:szCs w:val="20"/>
              </w:rPr>
              <w:t xml:space="preserve">GOCOVRI ER 137 MG CAPSULE     </w:t>
            </w:r>
          </w:p>
        </w:tc>
        <w:tc>
          <w:tcPr>
            <w:tcW w:w="2340" w:type="dxa"/>
            <w:vAlign w:val="bottom"/>
          </w:tcPr>
          <w:p w14:paraId="65534850" w14:textId="77777777" w:rsidR="0049403D" w:rsidRPr="008E7628" w:rsidRDefault="0049403D" w:rsidP="00C4003D">
            <w:pPr>
              <w:rPr>
                <w:rFonts w:cs="Arial"/>
                <w:bCs/>
                <w:caps/>
                <w:szCs w:val="20"/>
              </w:rPr>
            </w:pPr>
            <w:r w:rsidRPr="008E7628">
              <w:rPr>
                <w:rFonts w:cs="Arial"/>
                <w:bCs/>
                <w:caps/>
                <w:szCs w:val="20"/>
              </w:rPr>
              <w:t>AMANTADINE HCL</w:t>
            </w:r>
          </w:p>
        </w:tc>
        <w:tc>
          <w:tcPr>
            <w:tcW w:w="3240" w:type="dxa"/>
          </w:tcPr>
          <w:p w14:paraId="470A13A8" w14:textId="77777777" w:rsidR="0049403D" w:rsidRPr="008E7628" w:rsidRDefault="0049403D" w:rsidP="00C4003D">
            <w:pPr>
              <w:rPr>
                <w:rFonts w:cs="Arial"/>
                <w:bCs/>
                <w:szCs w:val="20"/>
              </w:rPr>
            </w:pPr>
            <w:r w:rsidRPr="008E7628">
              <w:rPr>
                <w:rFonts w:cs="Arial"/>
                <w:bCs/>
                <w:szCs w:val="20"/>
              </w:rPr>
              <w:t>2 capsules per day</w:t>
            </w:r>
          </w:p>
        </w:tc>
      </w:tr>
      <w:tr w:rsidR="0049403D" w:rsidRPr="007C4BEB" w14:paraId="37770571" w14:textId="77777777" w:rsidTr="00C4003D">
        <w:trPr>
          <w:jc w:val="center"/>
        </w:trPr>
        <w:tc>
          <w:tcPr>
            <w:tcW w:w="3600" w:type="dxa"/>
            <w:vAlign w:val="center"/>
          </w:tcPr>
          <w:p w14:paraId="0167CEF6" w14:textId="77777777" w:rsidR="0049403D" w:rsidRPr="008E7628" w:rsidRDefault="0049403D" w:rsidP="00C4003D">
            <w:pPr>
              <w:rPr>
                <w:rFonts w:cs="Arial"/>
                <w:bCs/>
                <w:szCs w:val="20"/>
              </w:rPr>
            </w:pPr>
            <w:r w:rsidRPr="008E7628">
              <w:rPr>
                <w:rFonts w:cs="Arial"/>
                <w:bCs/>
                <w:szCs w:val="20"/>
              </w:rPr>
              <w:t>MIRAPEX ER 0.375 MG TABLET</w:t>
            </w:r>
          </w:p>
        </w:tc>
        <w:tc>
          <w:tcPr>
            <w:tcW w:w="2340" w:type="dxa"/>
            <w:vAlign w:val="center"/>
          </w:tcPr>
          <w:p w14:paraId="067B7648" w14:textId="77777777" w:rsidR="0049403D" w:rsidRPr="008E7628" w:rsidRDefault="0049403D" w:rsidP="00C4003D">
            <w:pPr>
              <w:rPr>
                <w:rFonts w:cs="Arial"/>
                <w:bCs/>
                <w:caps/>
                <w:szCs w:val="20"/>
              </w:rPr>
            </w:pPr>
            <w:r w:rsidRPr="008E7628">
              <w:rPr>
                <w:rFonts w:cs="Arial"/>
                <w:bCs/>
                <w:caps/>
                <w:szCs w:val="20"/>
              </w:rPr>
              <w:t>Pramipexole</w:t>
            </w:r>
          </w:p>
        </w:tc>
        <w:tc>
          <w:tcPr>
            <w:tcW w:w="3240" w:type="dxa"/>
          </w:tcPr>
          <w:p w14:paraId="49756380"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7C6C01C5" w14:textId="77777777" w:rsidTr="00C4003D">
        <w:trPr>
          <w:jc w:val="center"/>
        </w:trPr>
        <w:tc>
          <w:tcPr>
            <w:tcW w:w="3600" w:type="dxa"/>
            <w:vAlign w:val="center"/>
          </w:tcPr>
          <w:p w14:paraId="6C1895C4" w14:textId="77777777" w:rsidR="0049403D" w:rsidRPr="008E7628" w:rsidRDefault="0049403D" w:rsidP="00C4003D">
            <w:pPr>
              <w:rPr>
                <w:rFonts w:cs="Arial"/>
                <w:bCs/>
                <w:szCs w:val="20"/>
              </w:rPr>
            </w:pPr>
            <w:r w:rsidRPr="008E7628">
              <w:rPr>
                <w:rFonts w:cs="Arial"/>
                <w:bCs/>
                <w:szCs w:val="20"/>
              </w:rPr>
              <w:t>MIRAPEX ER 0.75 MG TABLET</w:t>
            </w:r>
          </w:p>
        </w:tc>
        <w:tc>
          <w:tcPr>
            <w:tcW w:w="2340" w:type="dxa"/>
            <w:vAlign w:val="center"/>
          </w:tcPr>
          <w:p w14:paraId="0636789E" w14:textId="77777777" w:rsidR="0049403D" w:rsidRPr="008E7628" w:rsidRDefault="0049403D" w:rsidP="00C4003D">
            <w:pPr>
              <w:pStyle w:val="CommentText"/>
              <w:rPr>
                <w:rFonts w:cs="Arial"/>
                <w:bCs/>
                <w:caps/>
              </w:rPr>
            </w:pPr>
            <w:r w:rsidRPr="008E7628">
              <w:rPr>
                <w:rFonts w:cs="Arial"/>
                <w:bCs/>
                <w:caps/>
              </w:rPr>
              <w:t>Pramipexole</w:t>
            </w:r>
          </w:p>
        </w:tc>
        <w:tc>
          <w:tcPr>
            <w:tcW w:w="3240" w:type="dxa"/>
          </w:tcPr>
          <w:p w14:paraId="72BDF4FA"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62594FB0" w14:textId="77777777" w:rsidTr="00C4003D">
        <w:trPr>
          <w:jc w:val="center"/>
        </w:trPr>
        <w:tc>
          <w:tcPr>
            <w:tcW w:w="3600" w:type="dxa"/>
            <w:vAlign w:val="center"/>
          </w:tcPr>
          <w:p w14:paraId="568CD295" w14:textId="77777777" w:rsidR="0049403D" w:rsidRPr="008E7628" w:rsidRDefault="0049403D" w:rsidP="00C4003D">
            <w:pPr>
              <w:rPr>
                <w:rFonts w:cs="Arial"/>
                <w:bCs/>
                <w:szCs w:val="20"/>
              </w:rPr>
            </w:pPr>
            <w:r w:rsidRPr="008E7628">
              <w:rPr>
                <w:rFonts w:cs="Arial"/>
                <w:bCs/>
                <w:szCs w:val="20"/>
              </w:rPr>
              <w:t>MIRAPEX ER 1.5 MG TABLET</w:t>
            </w:r>
          </w:p>
        </w:tc>
        <w:tc>
          <w:tcPr>
            <w:tcW w:w="2340" w:type="dxa"/>
            <w:vAlign w:val="center"/>
          </w:tcPr>
          <w:p w14:paraId="73778D3F" w14:textId="77777777" w:rsidR="0049403D" w:rsidRPr="008E7628" w:rsidRDefault="0049403D" w:rsidP="00C4003D">
            <w:pPr>
              <w:rPr>
                <w:rFonts w:cs="Arial"/>
                <w:bCs/>
                <w:caps/>
                <w:szCs w:val="20"/>
              </w:rPr>
            </w:pPr>
            <w:r w:rsidRPr="008E7628">
              <w:rPr>
                <w:rFonts w:cs="Arial"/>
                <w:bCs/>
                <w:caps/>
                <w:szCs w:val="20"/>
              </w:rPr>
              <w:t>Pramipexole</w:t>
            </w:r>
          </w:p>
        </w:tc>
        <w:tc>
          <w:tcPr>
            <w:tcW w:w="3240" w:type="dxa"/>
          </w:tcPr>
          <w:p w14:paraId="4C729209"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10161A12" w14:textId="77777777" w:rsidTr="00C4003D">
        <w:trPr>
          <w:jc w:val="center"/>
        </w:trPr>
        <w:tc>
          <w:tcPr>
            <w:tcW w:w="3600" w:type="dxa"/>
            <w:vAlign w:val="center"/>
          </w:tcPr>
          <w:p w14:paraId="17530CC6" w14:textId="77777777" w:rsidR="0049403D" w:rsidRPr="008E7628" w:rsidRDefault="0049403D" w:rsidP="00C4003D">
            <w:pPr>
              <w:rPr>
                <w:rFonts w:cs="Arial"/>
                <w:bCs/>
                <w:szCs w:val="20"/>
              </w:rPr>
            </w:pPr>
            <w:r w:rsidRPr="008E7628">
              <w:rPr>
                <w:rFonts w:cs="Arial"/>
                <w:bCs/>
                <w:szCs w:val="20"/>
              </w:rPr>
              <w:t>MIRAPEX ER 2.25 MG TABLET</w:t>
            </w:r>
          </w:p>
        </w:tc>
        <w:tc>
          <w:tcPr>
            <w:tcW w:w="2340" w:type="dxa"/>
            <w:vAlign w:val="center"/>
          </w:tcPr>
          <w:p w14:paraId="681DC8BE" w14:textId="77777777" w:rsidR="0049403D" w:rsidRPr="008E7628" w:rsidRDefault="0049403D" w:rsidP="00C4003D">
            <w:pPr>
              <w:rPr>
                <w:rFonts w:cs="Arial"/>
                <w:bCs/>
                <w:caps/>
                <w:szCs w:val="20"/>
              </w:rPr>
            </w:pPr>
            <w:r w:rsidRPr="008E7628">
              <w:rPr>
                <w:rFonts w:cs="Arial"/>
                <w:bCs/>
                <w:caps/>
                <w:szCs w:val="20"/>
              </w:rPr>
              <w:t>Pramipexole</w:t>
            </w:r>
          </w:p>
        </w:tc>
        <w:tc>
          <w:tcPr>
            <w:tcW w:w="3240" w:type="dxa"/>
          </w:tcPr>
          <w:p w14:paraId="59AAFF6F"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507470E5" w14:textId="77777777" w:rsidTr="00C4003D">
        <w:trPr>
          <w:jc w:val="center"/>
        </w:trPr>
        <w:tc>
          <w:tcPr>
            <w:tcW w:w="3600" w:type="dxa"/>
            <w:vAlign w:val="center"/>
          </w:tcPr>
          <w:p w14:paraId="3AF2E8B9" w14:textId="77777777" w:rsidR="0049403D" w:rsidRPr="008E7628" w:rsidRDefault="0049403D" w:rsidP="00C4003D">
            <w:pPr>
              <w:rPr>
                <w:rFonts w:cs="Arial"/>
                <w:bCs/>
                <w:szCs w:val="20"/>
              </w:rPr>
            </w:pPr>
            <w:r w:rsidRPr="008E7628">
              <w:rPr>
                <w:rFonts w:cs="Arial"/>
                <w:bCs/>
                <w:szCs w:val="20"/>
              </w:rPr>
              <w:t>MIRAPEX ER 3 MG TABLET</w:t>
            </w:r>
          </w:p>
        </w:tc>
        <w:tc>
          <w:tcPr>
            <w:tcW w:w="2340" w:type="dxa"/>
            <w:vAlign w:val="center"/>
          </w:tcPr>
          <w:p w14:paraId="13D6E64A" w14:textId="77777777" w:rsidR="0049403D" w:rsidRPr="008E7628" w:rsidRDefault="0049403D" w:rsidP="00C4003D">
            <w:pPr>
              <w:rPr>
                <w:rFonts w:cs="Arial"/>
                <w:bCs/>
                <w:caps/>
                <w:szCs w:val="20"/>
              </w:rPr>
            </w:pPr>
            <w:r w:rsidRPr="008E7628">
              <w:rPr>
                <w:rFonts w:cs="Arial"/>
                <w:bCs/>
                <w:caps/>
                <w:szCs w:val="20"/>
              </w:rPr>
              <w:t>Pramipexole</w:t>
            </w:r>
          </w:p>
        </w:tc>
        <w:tc>
          <w:tcPr>
            <w:tcW w:w="3240" w:type="dxa"/>
          </w:tcPr>
          <w:p w14:paraId="364D59A2"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292CC396" w14:textId="77777777" w:rsidTr="00C4003D">
        <w:trPr>
          <w:jc w:val="center"/>
        </w:trPr>
        <w:tc>
          <w:tcPr>
            <w:tcW w:w="3600" w:type="dxa"/>
            <w:vAlign w:val="center"/>
          </w:tcPr>
          <w:p w14:paraId="1E1BE140" w14:textId="77777777" w:rsidR="0049403D" w:rsidRPr="008E7628" w:rsidRDefault="0049403D" w:rsidP="00C4003D">
            <w:pPr>
              <w:rPr>
                <w:rFonts w:cs="Arial"/>
                <w:bCs/>
                <w:szCs w:val="20"/>
              </w:rPr>
            </w:pPr>
            <w:r w:rsidRPr="008E7628">
              <w:rPr>
                <w:rFonts w:cs="Arial"/>
                <w:bCs/>
                <w:szCs w:val="20"/>
              </w:rPr>
              <w:t>MIRAPEX ER 3.75 MG TABLET</w:t>
            </w:r>
          </w:p>
        </w:tc>
        <w:tc>
          <w:tcPr>
            <w:tcW w:w="2340" w:type="dxa"/>
            <w:vAlign w:val="center"/>
          </w:tcPr>
          <w:p w14:paraId="2E9D28D8" w14:textId="77777777" w:rsidR="0049403D" w:rsidRPr="008E7628" w:rsidRDefault="0049403D" w:rsidP="00C4003D">
            <w:pPr>
              <w:rPr>
                <w:rFonts w:cs="Arial"/>
                <w:bCs/>
                <w:caps/>
                <w:szCs w:val="20"/>
              </w:rPr>
            </w:pPr>
            <w:r w:rsidRPr="008E7628">
              <w:rPr>
                <w:rFonts w:cs="Arial"/>
                <w:bCs/>
                <w:caps/>
                <w:szCs w:val="20"/>
              </w:rPr>
              <w:t>Pramipexole</w:t>
            </w:r>
          </w:p>
        </w:tc>
        <w:tc>
          <w:tcPr>
            <w:tcW w:w="3240" w:type="dxa"/>
          </w:tcPr>
          <w:p w14:paraId="5E34C314"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0CE5ADAF" w14:textId="77777777" w:rsidTr="00C4003D">
        <w:trPr>
          <w:jc w:val="center"/>
        </w:trPr>
        <w:tc>
          <w:tcPr>
            <w:tcW w:w="3600" w:type="dxa"/>
            <w:vAlign w:val="center"/>
          </w:tcPr>
          <w:p w14:paraId="35582BDB" w14:textId="77777777" w:rsidR="0049403D" w:rsidRPr="008E7628" w:rsidRDefault="0049403D" w:rsidP="00C4003D">
            <w:pPr>
              <w:rPr>
                <w:rFonts w:cs="Arial"/>
                <w:bCs/>
                <w:szCs w:val="20"/>
              </w:rPr>
            </w:pPr>
            <w:r w:rsidRPr="008E7628">
              <w:rPr>
                <w:rFonts w:cs="Arial"/>
                <w:bCs/>
                <w:szCs w:val="20"/>
              </w:rPr>
              <w:t>MIRAPEX ER 4.5 MG TABLET</w:t>
            </w:r>
          </w:p>
        </w:tc>
        <w:tc>
          <w:tcPr>
            <w:tcW w:w="2340" w:type="dxa"/>
            <w:vAlign w:val="center"/>
          </w:tcPr>
          <w:p w14:paraId="12974CA6" w14:textId="77777777" w:rsidR="0049403D" w:rsidRPr="008E7628" w:rsidRDefault="0049403D" w:rsidP="00C4003D">
            <w:pPr>
              <w:rPr>
                <w:rFonts w:cs="Arial"/>
                <w:bCs/>
                <w:caps/>
                <w:szCs w:val="20"/>
              </w:rPr>
            </w:pPr>
            <w:r w:rsidRPr="008E7628">
              <w:rPr>
                <w:rFonts w:cs="Arial"/>
                <w:bCs/>
                <w:caps/>
                <w:szCs w:val="20"/>
              </w:rPr>
              <w:t>Pramipexole</w:t>
            </w:r>
          </w:p>
        </w:tc>
        <w:tc>
          <w:tcPr>
            <w:tcW w:w="3240" w:type="dxa"/>
          </w:tcPr>
          <w:p w14:paraId="516438D9"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4478B0D7" w14:textId="77777777" w:rsidTr="00C4003D">
        <w:trPr>
          <w:jc w:val="center"/>
        </w:trPr>
        <w:tc>
          <w:tcPr>
            <w:tcW w:w="3600" w:type="dxa"/>
            <w:vAlign w:val="bottom"/>
          </w:tcPr>
          <w:p w14:paraId="6244C5AC" w14:textId="77777777" w:rsidR="0049403D" w:rsidRPr="008E7628" w:rsidRDefault="0049403D" w:rsidP="00C4003D">
            <w:pPr>
              <w:rPr>
                <w:rFonts w:cs="Arial"/>
                <w:bCs/>
                <w:szCs w:val="20"/>
              </w:rPr>
            </w:pPr>
            <w:r w:rsidRPr="008E7628">
              <w:rPr>
                <w:rFonts w:cs="Arial"/>
                <w:bCs/>
                <w:szCs w:val="20"/>
              </w:rPr>
              <w:t xml:space="preserve">OSMOLEX ER 129 MG TABLET    </w:t>
            </w:r>
          </w:p>
        </w:tc>
        <w:tc>
          <w:tcPr>
            <w:tcW w:w="2340" w:type="dxa"/>
            <w:vAlign w:val="bottom"/>
          </w:tcPr>
          <w:p w14:paraId="0360530C" w14:textId="77777777" w:rsidR="0049403D" w:rsidRPr="008E7628" w:rsidRDefault="0049403D" w:rsidP="00C4003D">
            <w:pPr>
              <w:rPr>
                <w:rFonts w:cs="Arial"/>
                <w:bCs/>
                <w:szCs w:val="20"/>
              </w:rPr>
            </w:pPr>
            <w:r w:rsidRPr="008E7628">
              <w:rPr>
                <w:rFonts w:cs="Arial"/>
                <w:bCs/>
                <w:caps/>
                <w:szCs w:val="20"/>
              </w:rPr>
              <w:t>AMANTADINE HCL</w:t>
            </w:r>
          </w:p>
        </w:tc>
        <w:tc>
          <w:tcPr>
            <w:tcW w:w="3240" w:type="dxa"/>
          </w:tcPr>
          <w:p w14:paraId="215E94A1"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46E40EDB" w14:textId="77777777" w:rsidTr="00C4003D">
        <w:trPr>
          <w:jc w:val="center"/>
        </w:trPr>
        <w:tc>
          <w:tcPr>
            <w:tcW w:w="3600" w:type="dxa"/>
            <w:vAlign w:val="bottom"/>
          </w:tcPr>
          <w:p w14:paraId="65250577" w14:textId="77777777" w:rsidR="0049403D" w:rsidRPr="008E7628" w:rsidRDefault="0049403D" w:rsidP="00C4003D">
            <w:pPr>
              <w:rPr>
                <w:rFonts w:cs="Arial"/>
                <w:bCs/>
                <w:szCs w:val="20"/>
              </w:rPr>
            </w:pPr>
            <w:r w:rsidRPr="008E7628">
              <w:rPr>
                <w:rFonts w:cs="Arial"/>
                <w:bCs/>
                <w:szCs w:val="20"/>
              </w:rPr>
              <w:t xml:space="preserve">OSMOLEX ER 193 MG TABLET   </w:t>
            </w:r>
          </w:p>
        </w:tc>
        <w:tc>
          <w:tcPr>
            <w:tcW w:w="2340" w:type="dxa"/>
            <w:vAlign w:val="bottom"/>
          </w:tcPr>
          <w:p w14:paraId="584F8C82" w14:textId="77777777" w:rsidR="0049403D" w:rsidRPr="008E7628" w:rsidRDefault="0049403D" w:rsidP="00C4003D">
            <w:pPr>
              <w:rPr>
                <w:rFonts w:cs="Arial"/>
                <w:bCs/>
                <w:szCs w:val="20"/>
              </w:rPr>
            </w:pPr>
            <w:r w:rsidRPr="008E7628">
              <w:rPr>
                <w:rFonts w:cs="Arial"/>
                <w:bCs/>
                <w:caps/>
                <w:szCs w:val="20"/>
              </w:rPr>
              <w:t>AMANTADINE HCL</w:t>
            </w:r>
          </w:p>
        </w:tc>
        <w:tc>
          <w:tcPr>
            <w:tcW w:w="3240" w:type="dxa"/>
          </w:tcPr>
          <w:p w14:paraId="7ECE2EBD"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17C013D9" w14:textId="77777777" w:rsidTr="00C4003D">
        <w:trPr>
          <w:jc w:val="center"/>
        </w:trPr>
        <w:tc>
          <w:tcPr>
            <w:tcW w:w="3600" w:type="dxa"/>
            <w:vAlign w:val="bottom"/>
          </w:tcPr>
          <w:p w14:paraId="361ACDB0" w14:textId="77777777" w:rsidR="0049403D" w:rsidRPr="008E7628" w:rsidRDefault="0049403D" w:rsidP="00C4003D">
            <w:pPr>
              <w:rPr>
                <w:rFonts w:cs="Arial"/>
                <w:bCs/>
                <w:szCs w:val="20"/>
              </w:rPr>
            </w:pPr>
            <w:r w:rsidRPr="008E7628">
              <w:rPr>
                <w:rFonts w:cs="Arial"/>
                <w:bCs/>
                <w:szCs w:val="20"/>
              </w:rPr>
              <w:t xml:space="preserve">OSMOLEX ER 258 MG TABLET   </w:t>
            </w:r>
          </w:p>
        </w:tc>
        <w:tc>
          <w:tcPr>
            <w:tcW w:w="2340" w:type="dxa"/>
            <w:vAlign w:val="bottom"/>
          </w:tcPr>
          <w:p w14:paraId="3D51A284" w14:textId="77777777" w:rsidR="0049403D" w:rsidRPr="008E7628" w:rsidRDefault="0049403D" w:rsidP="00C4003D">
            <w:pPr>
              <w:rPr>
                <w:rFonts w:cs="Arial"/>
                <w:bCs/>
                <w:szCs w:val="20"/>
              </w:rPr>
            </w:pPr>
            <w:r w:rsidRPr="008E7628">
              <w:rPr>
                <w:rFonts w:cs="Arial"/>
                <w:bCs/>
                <w:caps/>
                <w:szCs w:val="20"/>
              </w:rPr>
              <w:t>AMANTADINE HCL</w:t>
            </w:r>
          </w:p>
        </w:tc>
        <w:tc>
          <w:tcPr>
            <w:tcW w:w="3240" w:type="dxa"/>
          </w:tcPr>
          <w:p w14:paraId="7FD48A06"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2ADB4C2A" w14:textId="77777777" w:rsidTr="00C4003D">
        <w:trPr>
          <w:jc w:val="center"/>
        </w:trPr>
        <w:tc>
          <w:tcPr>
            <w:tcW w:w="3600" w:type="dxa"/>
            <w:vAlign w:val="bottom"/>
          </w:tcPr>
          <w:p w14:paraId="3EC6357D" w14:textId="77777777" w:rsidR="0049403D" w:rsidRPr="008E7628" w:rsidRDefault="0049403D" w:rsidP="00C4003D">
            <w:pPr>
              <w:rPr>
                <w:rFonts w:cs="Arial"/>
                <w:bCs/>
                <w:szCs w:val="20"/>
              </w:rPr>
            </w:pPr>
            <w:r w:rsidRPr="008E7628">
              <w:rPr>
                <w:rFonts w:cs="Arial"/>
                <w:bCs/>
                <w:szCs w:val="20"/>
              </w:rPr>
              <w:t xml:space="preserve">OSMOLEX ER 322 MG TABLET   </w:t>
            </w:r>
          </w:p>
        </w:tc>
        <w:tc>
          <w:tcPr>
            <w:tcW w:w="2340" w:type="dxa"/>
            <w:vAlign w:val="bottom"/>
          </w:tcPr>
          <w:p w14:paraId="54FEC517" w14:textId="77777777" w:rsidR="0049403D" w:rsidRPr="008E7628" w:rsidRDefault="0049403D" w:rsidP="00C4003D">
            <w:pPr>
              <w:rPr>
                <w:rFonts w:cs="Arial"/>
                <w:bCs/>
                <w:szCs w:val="20"/>
              </w:rPr>
            </w:pPr>
            <w:r w:rsidRPr="008E7628">
              <w:rPr>
                <w:rFonts w:cs="Arial"/>
                <w:bCs/>
                <w:caps/>
                <w:szCs w:val="20"/>
              </w:rPr>
              <w:t>AMANTADINE HCL</w:t>
            </w:r>
          </w:p>
        </w:tc>
        <w:tc>
          <w:tcPr>
            <w:tcW w:w="3240" w:type="dxa"/>
          </w:tcPr>
          <w:p w14:paraId="4CDBE489"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3C7A1120" w14:textId="77777777" w:rsidTr="00C4003D">
        <w:trPr>
          <w:jc w:val="center"/>
        </w:trPr>
        <w:tc>
          <w:tcPr>
            <w:tcW w:w="3600" w:type="dxa"/>
            <w:vAlign w:val="center"/>
          </w:tcPr>
          <w:p w14:paraId="3A05AC6B" w14:textId="77777777" w:rsidR="0049403D" w:rsidRPr="008E7628" w:rsidRDefault="0049403D" w:rsidP="00C4003D">
            <w:pPr>
              <w:rPr>
                <w:rFonts w:cs="Arial"/>
                <w:bCs/>
                <w:szCs w:val="20"/>
              </w:rPr>
            </w:pPr>
            <w:r w:rsidRPr="008E7628">
              <w:rPr>
                <w:rFonts w:cs="Arial"/>
                <w:bCs/>
                <w:szCs w:val="20"/>
              </w:rPr>
              <w:t xml:space="preserve">REQUIP XL 2 MG TABLET         </w:t>
            </w:r>
          </w:p>
        </w:tc>
        <w:tc>
          <w:tcPr>
            <w:tcW w:w="2340" w:type="dxa"/>
            <w:vAlign w:val="center"/>
          </w:tcPr>
          <w:p w14:paraId="06B45174" w14:textId="77777777" w:rsidR="0049403D" w:rsidRPr="008E7628" w:rsidRDefault="0049403D" w:rsidP="00C4003D">
            <w:pPr>
              <w:rPr>
                <w:rFonts w:cs="Arial"/>
                <w:bCs/>
                <w:caps/>
                <w:szCs w:val="20"/>
              </w:rPr>
            </w:pPr>
            <w:r w:rsidRPr="008E7628">
              <w:rPr>
                <w:rFonts w:cs="Arial"/>
                <w:bCs/>
                <w:szCs w:val="20"/>
              </w:rPr>
              <w:t>ROPINIROLE</w:t>
            </w:r>
          </w:p>
        </w:tc>
        <w:tc>
          <w:tcPr>
            <w:tcW w:w="3240" w:type="dxa"/>
          </w:tcPr>
          <w:p w14:paraId="4EA574AE"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03994CAF" w14:textId="77777777" w:rsidTr="00C4003D">
        <w:trPr>
          <w:jc w:val="center"/>
        </w:trPr>
        <w:tc>
          <w:tcPr>
            <w:tcW w:w="3600" w:type="dxa"/>
            <w:vAlign w:val="center"/>
          </w:tcPr>
          <w:p w14:paraId="31EFD144" w14:textId="77777777" w:rsidR="0049403D" w:rsidRPr="008E7628" w:rsidRDefault="0049403D" w:rsidP="00C4003D">
            <w:pPr>
              <w:rPr>
                <w:rFonts w:cs="Arial"/>
                <w:bCs/>
                <w:szCs w:val="20"/>
              </w:rPr>
            </w:pPr>
            <w:r w:rsidRPr="008E7628">
              <w:rPr>
                <w:rFonts w:cs="Arial"/>
                <w:bCs/>
                <w:szCs w:val="20"/>
              </w:rPr>
              <w:t xml:space="preserve">REQUIP XL 4 MG TABLET         </w:t>
            </w:r>
          </w:p>
        </w:tc>
        <w:tc>
          <w:tcPr>
            <w:tcW w:w="2340" w:type="dxa"/>
            <w:vAlign w:val="center"/>
          </w:tcPr>
          <w:p w14:paraId="583BF2F8" w14:textId="77777777" w:rsidR="0049403D" w:rsidRPr="008E7628" w:rsidRDefault="0049403D" w:rsidP="00C4003D">
            <w:pPr>
              <w:rPr>
                <w:rFonts w:cs="Arial"/>
                <w:bCs/>
                <w:caps/>
                <w:szCs w:val="20"/>
              </w:rPr>
            </w:pPr>
            <w:r w:rsidRPr="008E7628">
              <w:rPr>
                <w:rFonts w:cs="Arial"/>
                <w:bCs/>
                <w:szCs w:val="20"/>
              </w:rPr>
              <w:t>ROPINIROLE</w:t>
            </w:r>
          </w:p>
        </w:tc>
        <w:tc>
          <w:tcPr>
            <w:tcW w:w="3240" w:type="dxa"/>
          </w:tcPr>
          <w:p w14:paraId="0EE5090F"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0E145B7A" w14:textId="77777777" w:rsidTr="00C4003D">
        <w:trPr>
          <w:jc w:val="center"/>
        </w:trPr>
        <w:tc>
          <w:tcPr>
            <w:tcW w:w="3600" w:type="dxa"/>
            <w:vAlign w:val="center"/>
          </w:tcPr>
          <w:p w14:paraId="2B1F8CF3" w14:textId="77777777" w:rsidR="0049403D" w:rsidRPr="008E7628" w:rsidRDefault="0049403D" w:rsidP="00C4003D">
            <w:pPr>
              <w:rPr>
                <w:rFonts w:cs="Arial"/>
                <w:bCs/>
                <w:szCs w:val="20"/>
              </w:rPr>
            </w:pPr>
            <w:r w:rsidRPr="008E7628">
              <w:rPr>
                <w:rFonts w:cs="Arial"/>
                <w:bCs/>
                <w:szCs w:val="20"/>
              </w:rPr>
              <w:t>REQUIP XL 6 MG TABLET</w:t>
            </w:r>
          </w:p>
        </w:tc>
        <w:tc>
          <w:tcPr>
            <w:tcW w:w="2340" w:type="dxa"/>
            <w:vAlign w:val="center"/>
          </w:tcPr>
          <w:p w14:paraId="746F02AB" w14:textId="77777777" w:rsidR="0049403D" w:rsidRPr="008E7628" w:rsidRDefault="0049403D" w:rsidP="00C4003D">
            <w:pPr>
              <w:rPr>
                <w:rFonts w:cs="Arial"/>
                <w:bCs/>
                <w:caps/>
                <w:szCs w:val="20"/>
              </w:rPr>
            </w:pPr>
            <w:r w:rsidRPr="008E7628">
              <w:rPr>
                <w:rFonts w:cs="Arial"/>
                <w:bCs/>
                <w:szCs w:val="20"/>
              </w:rPr>
              <w:t>ROPINIROLE</w:t>
            </w:r>
          </w:p>
        </w:tc>
        <w:tc>
          <w:tcPr>
            <w:tcW w:w="3240" w:type="dxa"/>
          </w:tcPr>
          <w:p w14:paraId="61C64365" w14:textId="77777777" w:rsidR="0049403D" w:rsidRPr="008E7628" w:rsidRDefault="0049403D" w:rsidP="00C4003D">
            <w:pPr>
              <w:rPr>
                <w:rFonts w:cs="Arial"/>
                <w:bCs/>
                <w:szCs w:val="20"/>
              </w:rPr>
            </w:pPr>
            <w:r w:rsidRPr="008E7628">
              <w:rPr>
                <w:rFonts w:cs="Arial"/>
                <w:bCs/>
                <w:szCs w:val="20"/>
              </w:rPr>
              <w:t>1 tablet per day</w:t>
            </w:r>
          </w:p>
        </w:tc>
      </w:tr>
      <w:tr w:rsidR="0049403D" w:rsidRPr="007C4BEB" w14:paraId="002165D9" w14:textId="77777777" w:rsidTr="00C4003D">
        <w:trPr>
          <w:jc w:val="center"/>
        </w:trPr>
        <w:tc>
          <w:tcPr>
            <w:tcW w:w="3600" w:type="dxa"/>
            <w:vAlign w:val="center"/>
          </w:tcPr>
          <w:p w14:paraId="3E060C5F" w14:textId="77777777" w:rsidR="0049403D" w:rsidRPr="008E7628" w:rsidRDefault="0049403D" w:rsidP="00C4003D">
            <w:pPr>
              <w:rPr>
                <w:rFonts w:cs="Arial"/>
                <w:bCs/>
                <w:szCs w:val="20"/>
              </w:rPr>
            </w:pPr>
            <w:r w:rsidRPr="008E7628">
              <w:rPr>
                <w:rFonts w:cs="Arial"/>
                <w:bCs/>
                <w:szCs w:val="20"/>
              </w:rPr>
              <w:t>REQUIP XL 8 MG TABLET</w:t>
            </w:r>
          </w:p>
        </w:tc>
        <w:tc>
          <w:tcPr>
            <w:tcW w:w="2340" w:type="dxa"/>
            <w:vAlign w:val="center"/>
          </w:tcPr>
          <w:p w14:paraId="09156312" w14:textId="77777777" w:rsidR="0049403D" w:rsidRPr="008E7628" w:rsidRDefault="0049403D" w:rsidP="00C4003D">
            <w:pPr>
              <w:rPr>
                <w:rFonts w:cs="Arial"/>
                <w:bCs/>
                <w:caps/>
                <w:szCs w:val="20"/>
              </w:rPr>
            </w:pPr>
            <w:r w:rsidRPr="008E7628">
              <w:rPr>
                <w:rFonts w:cs="Arial"/>
                <w:bCs/>
                <w:szCs w:val="20"/>
              </w:rPr>
              <w:t>ROPINIROLE</w:t>
            </w:r>
          </w:p>
        </w:tc>
        <w:tc>
          <w:tcPr>
            <w:tcW w:w="3240" w:type="dxa"/>
          </w:tcPr>
          <w:p w14:paraId="148652C1" w14:textId="77777777" w:rsidR="0049403D" w:rsidRPr="008E7628" w:rsidRDefault="0049403D" w:rsidP="00C4003D">
            <w:pPr>
              <w:rPr>
                <w:rFonts w:cs="Arial"/>
                <w:bCs/>
                <w:szCs w:val="20"/>
              </w:rPr>
            </w:pPr>
            <w:r w:rsidRPr="008E7628">
              <w:rPr>
                <w:rFonts w:cs="Arial"/>
                <w:bCs/>
                <w:szCs w:val="20"/>
              </w:rPr>
              <w:t>2 tablets per day</w:t>
            </w:r>
          </w:p>
        </w:tc>
      </w:tr>
      <w:tr w:rsidR="0049403D" w:rsidRPr="007C4BEB" w14:paraId="0A351AB3" w14:textId="77777777" w:rsidTr="00C4003D">
        <w:trPr>
          <w:jc w:val="center"/>
        </w:trPr>
        <w:tc>
          <w:tcPr>
            <w:tcW w:w="3600" w:type="dxa"/>
            <w:vAlign w:val="center"/>
          </w:tcPr>
          <w:p w14:paraId="1C4CDDFF" w14:textId="77777777" w:rsidR="0049403D" w:rsidRPr="008E7628" w:rsidRDefault="0049403D" w:rsidP="00C4003D">
            <w:pPr>
              <w:rPr>
                <w:rFonts w:cs="Arial"/>
                <w:bCs/>
                <w:szCs w:val="20"/>
              </w:rPr>
            </w:pPr>
            <w:r w:rsidRPr="008E7628">
              <w:rPr>
                <w:rFonts w:cs="Arial"/>
                <w:bCs/>
                <w:szCs w:val="20"/>
              </w:rPr>
              <w:t>REQUIP XL 12 MG TABLET</w:t>
            </w:r>
          </w:p>
        </w:tc>
        <w:tc>
          <w:tcPr>
            <w:tcW w:w="2340" w:type="dxa"/>
            <w:vAlign w:val="center"/>
          </w:tcPr>
          <w:p w14:paraId="4BED40E6" w14:textId="77777777" w:rsidR="0049403D" w:rsidRPr="008E7628" w:rsidRDefault="0049403D" w:rsidP="00C4003D">
            <w:pPr>
              <w:rPr>
                <w:rFonts w:cs="Arial"/>
                <w:bCs/>
                <w:caps/>
                <w:szCs w:val="20"/>
              </w:rPr>
            </w:pPr>
            <w:r w:rsidRPr="008E7628">
              <w:rPr>
                <w:rFonts w:cs="Arial"/>
                <w:bCs/>
                <w:szCs w:val="20"/>
              </w:rPr>
              <w:t>ROPINIROLE</w:t>
            </w:r>
          </w:p>
        </w:tc>
        <w:tc>
          <w:tcPr>
            <w:tcW w:w="3240" w:type="dxa"/>
          </w:tcPr>
          <w:p w14:paraId="67DFA7CC" w14:textId="77777777" w:rsidR="0049403D" w:rsidRPr="008E7628" w:rsidRDefault="0049403D" w:rsidP="00C4003D">
            <w:pPr>
              <w:rPr>
                <w:rFonts w:cs="Arial"/>
                <w:bCs/>
                <w:szCs w:val="20"/>
              </w:rPr>
            </w:pPr>
            <w:r w:rsidRPr="008E7628">
              <w:rPr>
                <w:rFonts w:cs="Arial"/>
                <w:bCs/>
                <w:szCs w:val="20"/>
              </w:rPr>
              <w:t>2 tablets per day</w:t>
            </w:r>
          </w:p>
        </w:tc>
      </w:tr>
      <w:bookmarkEnd w:id="1"/>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2"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10231417" w14:textId="77777777" w:rsidR="003D4486" w:rsidRPr="003A48E7" w:rsidRDefault="003D4486" w:rsidP="003D4486">
      <w:pPr>
        <w:pStyle w:val="ListParagraph"/>
      </w:pPr>
      <w:r>
        <w:t>Apokyn (</w:t>
      </w:r>
      <w:r w:rsidRPr="003C0A17">
        <w:t>apomorphine</w:t>
      </w:r>
      <w:r>
        <w:t>) [package insert</w:t>
      </w:r>
      <w:r w:rsidRPr="003A48E7">
        <w:t>]</w:t>
      </w:r>
      <w:r>
        <w:t>.</w:t>
      </w:r>
      <w:r w:rsidRPr="003A48E7">
        <w:t xml:space="preserve"> </w:t>
      </w:r>
      <w:r>
        <w:t>Rockville, MD</w:t>
      </w:r>
      <w:r w:rsidRPr="003A48E7">
        <w:t>:</w:t>
      </w:r>
      <w:r>
        <w:t xml:space="preserve"> MDD US Operations, LLC</w:t>
      </w:r>
      <w:r w:rsidRPr="003A48E7">
        <w:t xml:space="preserve">; </w:t>
      </w:r>
      <w:r>
        <w:t>June 2022</w:t>
      </w:r>
      <w:r w:rsidRPr="003A48E7">
        <w:t xml:space="preserve">. </w:t>
      </w:r>
    </w:p>
    <w:p w14:paraId="2CC671A0" w14:textId="6F0D9F83" w:rsidR="003D4486" w:rsidRDefault="003D4486" w:rsidP="003D4486">
      <w:pPr>
        <w:pStyle w:val="ListParagraph"/>
      </w:pPr>
      <w:r w:rsidRPr="00DE760C">
        <w:t>Gocovri (amantadine) [package insert]. Emeryville, CA: Adamas Pharma LLC</w:t>
      </w:r>
      <w:r>
        <w:t>;</w:t>
      </w:r>
      <w:r w:rsidRPr="00DE760C">
        <w:t xml:space="preserve"> </w:t>
      </w:r>
      <w:r w:rsidR="00EB1CCB">
        <w:t>July</w:t>
      </w:r>
      <w:r w:rsidRPr="00DE760C">
        <w:t xml:space="preserve"> 202</w:t>
      </w:r>
      <w:r w:rsidR="00EB1CCB">
        <w:t>5</w:t>
      </w:r>
      <w:r w:rsidRPr="00DE760C">
        <w:t xml:space="preserve">. </w:t>
      </w:r>
    </w:p>
    <w:p w14:paraId="464B49D9" w14:textId="77777777" w:rsidR="003D4486" w:rsidRPr="006327F6" w:rsidRDefault="003D4486" w:rsidP="003D4486">
      <w:pPr>
        <w:pStyle w:val="ListParagraph"/>
      </w:pPr>
      <w:r>
        <w:t xml:space="preserve">Neupro (rotigotine) [package insert]. </w:t>
      </w:r>
      <w:r w:rsidRPr="006327F6">
        <w:t xml:space="preserve">Smyrna, GA: UCB, Inc.; July 2021. </w:t>
      </w:r>
    </w:p>
    <w:p w14:paraId="3BAF62C0" w14:textId="1ED80434" w:rsidR="002570AE" w:rsidRDefault="002570AE" w:rsidP="003D4486">
      <w:pPr>
        <w:pStyle w:val="ListParagraph"/>
      </w:pPr>
      <w:r>
        <w:t xml:space="preserve">Onapgo (apomorphine) [package insert]. </w:t>
      </w:r>
      <w:r w:rsidR="00E1014E">
        <w:t>Rockville, MD</w:t>
      </w:r>
      <w:r w:rsidR="00E1014E" w:rsidRPr="003A48E7">
        <w:t>:</w:t>
      </w:r>
      <w:r w:rsidR="00E1014E">
        <w:t xml:space="preserve"> MDD US Operations, LLC</w:t>
      </w:r>
      <w:r w:rsidR="00E1014E" w:rsidRPr="003A48E7">
        <w:t>;</w:t>
      </w:r>
      <w:r w:rsidR="00E1014E">
        <w:t xml:space="preserve"> February 2025.</w:t>
      </w:r>
    </w:p>
    <w:p w14:paraId="46BDD6F5" w14:textId="5B9798C3" w:rsidR="003D4486" w:rsidRPr="00165BD7" w:rsidRDefault="003D4486" w:rsidP="003D4486">
      <w:pPr>
        <w:pStyle w:val="ListParagraph"/>
      </w:pPr>
      <w:r w:rsidRPr="00165BD7">
        <w:lastRenderedPageBreak/>
        <w:t xml:space="preserve">Evidence-Based Medicine and Fiscal Analysis: “Therapeutic Class Review: CENTRAL NERVOUS SYSTEM: AntiParkinsonism Agents, Non-Ergot Dopamine Agonists”, Gainwell Technologies; Last updated </w:t>
      </w:r>
      <w:r w:rsidR="00D47F0B">
        <w:t>November 27, 2025</w:t>
      </w:r>
      <w:r w:rsidRPr="00165BD7">
        <w:t>.</w:t>
      </w:r>
    </w:p>
    <w:p w14:paraId="7BEC464C" w14:textId="4AD2B431" w:rsidR="003D4486" w:rsidRPr="0083001C" w:rsidRDefault="003D4486" w:rsidP="003D4486">
      <w:pPr>
        <w:pStyle w:val="ListParagraph"/>
      </w:pPr>
      <w:r>
        <w:t>Evidence-Based Medicine Analysis: “Anti-Parkinsonism, Non-Ergot Dopamine Receptor Agonists”, UMKC-DIC; September 202</w:t>
      </w:r>
      <w:r w:rsidR="376F3B0D">
        <w:t>5</w:t>
      </w:r>
      <w:r>
        <w:t>.</w:t>
      </w:r>
    </w:p>
    <w:p w14:paraId="3FA1E7DB" w14:textId="5237B045" w:rsidR="00777CA4" w:rsidRDefault="003D4486" w:rsidP="003D4486">
      <w:pPr>
        <w:pStyle w:val="ListParagraph"/>
      </w:pPr>
      <w:r w:rsidRPr="00436AB0">
        <w:t>Clinical Pharmacology [online]. Tampa (FL): Elsevier. 202</w:t>
      </w:r>
      <w:r w:rsidR="00047C39">
        <w:t>5</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56D3" w14:textId="77777777" w:rsidR="00FD658C" w:rsidRPr="00C02553" w:rsidRDefault="00FD658C" w:rsidP="00AE77DB">
      <w:r w:rsidRPr="00C02553">
        <w:separator/>
      </w:r>
    </w:p>
  </w:endnote>
  <w:endnote w:type="continuationSeparator" w:id="0">
    <w:p w14:paraId="5DA03511" w14:textId="77777777" w:rsidR="00FD658C" w:rsidRPr="00C02553" w:rsidRDefault="00FD658C" w:rsidP="00AE77DB">
      <w:r w:rsidRPr="00C02553">
        <w:continuationSeparator/>
      </w:r>
    </w:p>
  </w:endnote>
  <w:endnote w:type="continuationNotice" w:id="1">
    <w:p w14:paraId="10CA9290" w14:textId="77777777" w:rsidR="00FD658C" w:rsidRPr="00C02553" w:rsidRDefault="00FD6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2B5E" w14:textId="77777777" w:rsidR="00FD658C" w:rsidRPr="00C02553" w:rsidRDefault="00FD658C" w:rsidP="00AE77DB">
      <w:r w:rsidRPr="00C02553">
        <w:separator/>
      </w:r>
    </w:p>
  </w:footnote>
  <w:footnote w:type="continuationSeparator" w:id="0">
    <w:p w14:paraId="43D3CDD9" w14:textId="77777777" w:rsidR="00FD658C" w:rsidRPr="00C02553" w:rsidRDefault="00FD658C" w:rsidP="00AE77DB">
      <w:r w:rsidRPr="00C02553">
        <w:continuationSeparator/>
      </w:r>
    </w:p>
  </w:footnote>
  <w:footnote w:type="continuationNotice" w:id="1">
    <w:p w14:paraId="497FB00D" w14:textId="77777777" w:rsidR="00FD658C" w:rsidRPr="00C02553" w:rsidRDefault="00FD6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FD658C">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FD658C">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FD658C">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AD4D24"/>
    <w:multiLevelType w:val="hybridMultilevel"/>
    <w:tmpl w:val="5F1419D6"/>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DD45AF"/>
    <w:multiLevelType w:val="hybridMultilevel"/>
    <w:tmpl w:val="2CA4E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FD19F9"/>
    <w:multiLevelType w:val="hybridMultilevel"/>
    <w:tmpl w:val="04AA43C0"/>
    <w:lvl w:ilvl="0" w:tplc="D35C0460">
      <w:start w:val="1"/>
      <w:numFmt w:val="bullet"/>
      <w:lvlText w:val=""/>
      <w:lvlJc w:val="left"/>
      <w:pPr>
        <w:tabs>
          <w:tab w:val="num" w:pos="540"/>
        </w:tabs>
        <w:ind w:left="540" w:hanging="360"/>
      </w:pPr>
      <w:rPr>
        <w:rFonts w:ascii="Symbol" w:hAnsi="Symbol" w:hint="default"/>
        <w:sz w:val="20"/>
      </w:rPr>
    </w:lvl>
    <w:lvl w:ilvl="1" w:tplc="04090003">
      <w:start w:val="1"/>
      <w:numFmt w:val="bullet"/>
      <w:lvlText w:val="o"/>
      <w:lvlJc w:val="left"/>
      <w:pPr>
        <w:tabs>
          <w:tab w:val="num" w:pos="1460"/>
        </w:tabs>
        <w:ind w:left="14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57081"/>
    <w:multiLevelType w:val="hybridMultilevel"/>
    <w:tmpl w:val="906E5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C277AC"/>
    <w:multiLevelType w:val="hybridMultilevel"/>
    <w:tmpl w:val="93244A0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220EE6"/>
    <w:multiLevelType w:val="hybridMultilevel"/>
    <w:tmpl w:val="CF9AF84E"/>
    <w:lvl w:ilvl="0" w:tplc="E91A3DF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9"/>
  </w:num>
  <w:num w:numId="3" w16cid:durableId="1729067566">
    <w:abstractNumId w:val="4"/>
  </w:num>
  <w:num w:numId="4" w16cid:durableId="320159068">
    <w:abstractNumId w:val="10"/>
  </w:num>
  <w:num w:numId="5" w16cid:durableId="1769498754">
    <w:abstractNumId w:val="3"/>
  </w:num>
  <w:num w:numId="6" w16cid:durableId="1094596320">
    <w:abstractNumId w:val="15"/>
  </w:num>
  <w:num w:numId="7" w16cid:durableId="2110008555">
    <w:abstractNumId w:val="2"/>
  </w:num>
  <w:num w:numId="8" w16cid:durableId="489712751">
    <w:abstractNumId w:val="7"/>
  </w:num>
  <w:num w:numId="9" w16cid:durableId="1085147965">
    <w:abstractNumId w:val="13"/>
  </w:num>
  <w:num w:numId="10" w16cid:durableId="917518096">
    <w:abstractNumId w:val="11"/>
  </w:num>
  <w:num w:numId="11" w16cid:durableId="1894998475">
    <w:abstractNumId w:val="1"/>
  </w:num>
  <w:num w:numId="12" w16cid:durableId="1418215296">
    <w:abstractNumId w:val="17"/>
  </w:num>
  <w:num w:numId="13" w16cid:durableId="604729665">
    <w:abstractNumId w:val="6"/>
  </w:num>
  <w:num w:numId="14" w16cid:durableId="1805081292">
    <w:abstractNumId w:val="14"/>
  </w:num>
  <w:num w:numId="15" w16cid:durableId="419983720">
    <w:abstractNumId w:val="9"/>
  </w:num>
  <w:num w:numId="16" w16cid:durableId="572933603">
    <w:abstractNumId w:val="12"/>
  </w:num>
  <w:num w:numId="17" w16cid:durableId="879246292">
    <w:abstractNumId w:val="5"/>
  </w:num>
  <w:num w:numId="18" w16cid:durableId="1903782977">
    <w:abstractNumId w:val="8"/>
  </w:num>
  <w:num w:numId="19" w16cid:durableId="1853565041">
    <w:abstractNumId w:val="18"/>
  </w:num>
  <w:num w:numId="20" w16cid:durableId="67103245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06ADD"/>
    <w:rsid w:val="00021608"/>
    <w:rsid w:val="000276D9"/>
    <w:rsid w:val="000344C5"/>
    <w:rsid w:val="00040914"/>
    <w:rsid w:val="00040AD3"/>
    <w:rsid w:val="00046FBA"/>
    <w:rsid w:val="00047C39"/>
    <w:rsid w:val="00053807"/>
    <w:rsid w:val="000572E5"/>
    <w:rsid w:val="00057F84"/>
    <w:rsid w:val="00061541"/>
    <w:rsid w:val="00064162"/>
    <w:rsid w:val="0006461E"/>
    <w:rsid w:val="00065C22"/>
    <w:rsid w:val="00070868"/>
    <w:rsid w:val="00074464"/>
    <w:rsid w:val="00076030"/>
    <w:rsid w:val="00082590"/>
    <w:rsid w:val="000913C3"/>
    <w:rsid w:val="000953B9"/>
    <w:rsid w:val="000A413B"/>
    <w:rsid w:val="000A6279"/>
    <w:rsid w:val="000B496B"/>
    <w:rsid w:val="000C3940"/>
    <w:rsid w:val="000C5992"/>
    <w:rsid w:val="000D40AC"/>
    <w:rsid w:val="000E1479"/>
    <w:rsid w:val="000E231E"/>
    <w:rsid w:val="000E247D"/>
    <w:rsid w:val="000E6B14"/>
    <w:rsid w:val="000E70D8"/>
    <w:rsid w:val="001062F6"/>
    <w:rsid w:val="00112FC7"/>
    <w:rsid w:val="0011401A"/>
    <w:rsid w:val="00125F5F"/>
    <w:rsid w:val="00126951"/>
    <w:rsid w:val="00126B60"/>
    <w:rsid w:val="00127EF6"/>
    <w:rsid w:val="001310AD"/>
    <w:rsid w:val="001314A5"/>
    <w:rsid w:val="00132C7F"/>
    <w:rsid w:val="00132FAB"/>
    <w:rsid w:val="00144DBE"/>
    <w:rsid w:val="00152C8B"/>
    <w:rsid w:val="0015636A"/>
    <w:rsid w:val="00172053"/>
    <w:rsid w:val="00177A80"/>
    <w:rsid w:val="0019256B"/>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302B1"/>
    <w:rsid w:val="00241267"/>
    <w:rsid w:val="00246564"/>
    <w:rsid w:val="00246A3B"/>
    <w:rsid w:val="00254279"/>
    <w:rsid w:val="00255404"/>
    <w:rsid w:val="0025594F"/>
    <w:rsid w:val="002570AE"/>
    <w:rsid w:val="00270C5E"/>
    <w:rsid w:val="00290A03"/>
    <w:rsid w:val="0029159A"/>
    <w:rsid w:val="00291600"/>
    <w:rsid w:val="00294466"/>
    <w:rsid w:val="002A02F4"/>
    <w:rsid w:val="002C2C41"/>
    <w:rsid w:val="002C62E7"/>
    <w:rsid w:val="002E05E2"/>
    <w:rsid w:val="002E2DD6"/>
    <w:rsid w:val="002E3F28"/>
    <w:rsid w:val="002F0E52"/>
    <w:rsid w:val="002F2274"/>
    <w:rsid w:val="002F2405"/>
    <w:rsid w:val="002F690F"/>
    <w:rsid w:val="0030301F"/>
    <w:rsid w:val="00303B21"/>
    <w:rsid w:val="003106A3"/>
    <w:rsid w:val="00313701"/>
    <w:rsid w:val="00314430"/>
    <w:rsid w:val="00316188"/>
    <w:rsid w:val="003171AF"/>
    <w:rsid w:val="00317469"/>
    <w:rsid w:val="0032215C"/>
    <w:rsid w:val="00324192"/>
    <w:rsid w:val="0032616B"/>
    <w:rsid w:val="00326687"/>
    <w:rsid w:val="003275F9"/>
    <w:rsid w:val="00334952"/>
    <w:rsid w:val="003355AC"/>
    <w:rsid w:val="00343D6B"/>
    <w:rsid w:val="00347FB5"/>
    <w:rsid w:val="00355515"/>
    <w:rsid w:val="003608B5"/>
    <w:rsid w:val="003613AF"/>
    <w:rsid w:val="003878C1"/>
    <w:rsid w:val="00392C8D"/>
    <w:rsid w:val="00396C0B"/>
    <w:rsid w:val="003A630F"/>
    <w:rsid w:val="003B3958"/>
    <w:rsid w:val="003B4820"/>
    <w:rsid w:val="003B5F4B"/>
    <w:rsid w:val="003B682F"/>
    <w:rsid w:val="003C53FC"/>
    <w:rsid w:val="003C7013"/>
    <w:rsid w:val="003D4486"/>
    <w:rsid w:val="003D641B"/>
    <w:rsid w:val="003F227C"/>
    <w:rsid w:val="003F473E"/>
    <w:rsid w:val="00400F88"/>
    <w:rsid w:val="004023CC"/>
    <w:rsid w:val="00407564"/>
    <w:rsid w:val="00411152"/>
    <w:rsid w:val="004156AA"/>
    <w:rsid w:val="004253A1"/>
    <w:rsid w:val="004313B6"/>
    <w:rsid w:val="00433339"/>
    <w:rsid w:val="00446BBC"/>
    <w:rsid w:val="004472C0"/>
    <w:rsid w:val="00450705"/>
    <w:rsid w:val="00451928"/>
    <w:rsid w:val="0046618B"/>
    <w:rsid w:val="0048342F"/>
    <w:rsid w:val="0048608C"/>
    <w:rsid w:val="0049403D"/>
    <w:rsid w:val="00496E57"/>
    <w:rsid w:val="004B3E10"/>
    <w:rsid w:val="004C0F5D"/>
    <w:rsid w:val="004C375A"/>
    <w:rsid w:val="004C4954"/>
    <w:rsid w:val="004C5767"/>
    <w:rsid w:val="004C6A37"/>
    <w:rsid w:val="004D5322"/>
    <w:rsid w:val="004D78B0"/>
    <w:rsid w:val="004E56DA"/>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42013"/>
    <w:rsid w:val="00551668"/>
    <w:rsid w:val="005572D5"/>
    <w:rsid w:val="0056083F"/>
    <w:rsid w:val="00566BE4"/>
    <w:rsid w:val="00570D21"/>
    <w:rsid w:val="00573856"/>
    <w:rsid w:val="00576113"/>
    <w:rsid w:val="00590652"/>
    <w:rsid w:val="0059235F"/>
    <w:rsid w:val="00593F95"/>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353"/>
    <w:rsid w:val="00616E5E"/>
    <w:rsid w:val="006173A4"/>
    <w:rsid w:val="00617E50"/>
    <w:rsid w:val="006205AD"/>
    <w:rsid w:val="00625C3A"/>
    <w:rsid w:val="006327F6"/>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28B"/>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5599"/>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07E4"/>
    <w:rsid w:val="0088225C"/>
    <w:rsid w:val="00884026"/>
    <w:rsid w:val="00884C78"/>
    <w:rsid w:val="008859E1"/>
    <w:rsid w:val="00896264"/>
    <w:rsid w:val="00896EE5"/>
    <w:rsid w:val="008A5D88"/>
    <w:rsid w:val="008B07D0"/>
    <w:rsid w:val="008B2851"/>
    <w:rsid w:val="008C000E"/>
    <w:rsid w:val="008D0F2F"/>
    <w:rsid w:val="008D237F"/>
    <w:rsid w:val="008D3FD8"/>
    <w:rsid w:val="008D6B05"/>
    <w:rsid w:val="008E7D2D"/>
    <w:rsid w:val="008F44C0"/>
    <w:rsid w:val="008F5999"/>
    <w:rsid w:val="00903AD6"/>
    <w:rsid w:val="00904D7A"/>
    <w:rsid w:val="00906F81"/>
    <w:rsid w:val="00915332"/>
    <w:rsid w:val="009204BB"/>
    <w:rsid w:val="00935918"/>
    <w:rsid w:val="00935EC3"/>
    <w:rsid w:val="009365FC"/>
    <w:rsid w:val="00951097"/>
    <w:rsid w:val="00953C1E"/>
    <w:rsid w:val="0096210F"/>
    <w:rsid w:val="00962633"/>
    <w:rsid w:val="00963187"/>
    <w:rsid w:val="00963ACF"/>
    <w:rsid w:val="00963D1C"/>
    <w:rsid w:val="00964284"/>
    <w:rsid w:val="0097028A"/>
    <w:rsid w:val="00972057"/>
    <w:rsid w:val="00973BD6"/>
    <w:rsid w:val="00980500"/>
    <w:rsid w:val="00984549"/>
    <w:rsid w:val="00985D28"/>
    <w:rsid w:val="00991BF0"/>
    <w:rsid w:val="009A0FB1"/>
    <w:rsid w:val="009A1FAC"/>
    <w:rsid w:val="009B001A"/>
    <w:rsid w:val="009B1A62"/>
    <w:rsid w:val="009C3CC7"/>
    <w:rsid w:val="009D2057"/>
    <w:rsid w:val="009D3D6C"/>
    <w:rsid w:val="009D5551"/>
    <w:rsid w:val="009D62DB"/>
    <w:rsid w:val="009E3B42"/>
    <w:rsid w:val="009F0C75"/>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802A7"/>
    <w:rsid w:val="00AA2728"/>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33407"/>
    <w:rsid w:val="00B33693"/>
    <w:rsid w:val="00B34C53"/>
    <w:rsid w:val="00B47A4C"/>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A7590"/>
    <w:rsid w:val="00BB3B4D"/>
    <w:rsid w:val="00BC351E"/>
    <w:rsid w:val="00BC3F77"/>
    <w:rsid w:val="00BC4361"/>
    <w:rsid w:val="00BC5635"/>
    <w:rsid w:val="00BC5675"/>
    <w:rsid w:val="00BD081C"/>
    <w:rsid w:val="00BD277B"/>
    <w:rsid w:val="00BD47CA"/>
    <w:rsid w:val="00BD62C7"/>
    <w:rsid w:val="00BE020D"/>
    <w:rsid w:val="00BE354A"/>
    <w:rsid w:val="00BE7C44"/>
    <w:rsid w:val="00BF5EEF"/>
    <w:rsid w:val="00C02553"/>
    <w:rsid w:val="00C03299"/>
    <w:rsid w:val="00C04EB6"/>
    <w:rsid w:val="00C056F9"/>
    <w:rsid w:val="00C1018C"/>
    <w:rsid w:val="00C1150E"/>
    <w:rsid w:val="00C14D52"/>
    <w:rsid w:val="00C2586C"/>
    <w:rsid w:val="00C26001"/>
    <w:rsid w:val="00C34E72"/>
    <w:rsid w:val="00C428B5"/>
    <w:rsid w:val="00C56B1F"/>
    <w:rsid w:val="00C61B52"/>
    <w:rsid w:val="00C62745"/>
    <w:rsid w:val="00C654CA"/>
    <w:rsid w:val="00C66837"/>
    <w:rsid w:val="00C722C9"/>
    <w:rsid w:val="00C763BD"/>
    <w:rsid w:val="00C779A8"/>
    <w:rsid w:val="00C82E19"/>
    <w:rsid w:val="00C96873"/>
    <w:rsid w:val="00CA1735"/>
    <w:rsid w:val="00CA3C4B"/>
    <w:rsid w:val="00CA7252"/>
    <w:rsid w:val="00CB2C5A"/>
    <w:rsid w:val="00CE0C1C"/>
    <w:rsid w:val="00CE154E"/>
    <w:rsid w:val="00CE34AF"/>
    <w:rsid w:val="00CF00A4"/>
    <w:rsid w:val="00CF25FB"/>
    <w:rsid w:val="00CF614C"/>
    <w:rsid w:val="00D02F34"/>
    <w:rsid w:val="00D10CA3"/>
    <w:rsid w:val="00D13D87"/>
    <w:rsid w:val="00D16590"/>
    <w:rsid w:val="00D20720"/>
    <w:rsid w:val="00D250D9"/>
    <w:rsid w:val="00D27533"/>
    <w:rsid w:val="00D42DA3"/>
    <w:rsid w:val="00D4546D"/>
    <w:rsid w:val="00D47996"/>
    <w:rsid w:val="00D47F0B"/>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014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1CCB"/>
    <w:rsid w:val="00EB4FB9"/>
    <w:rsid w:val="00EB5BC8"/>
    <w:rsid w:val="00EC2738"/>
    <w:rsid w:val="00ED7B42"/>
    <w:rsid w:val="00EE3EA5"/>
    <w:rsid w:val="00EE613F"/>
    <w:rsid w:val="00EE6BD1"/>
    <w:rsid w:val="00EF0262"/>
    <w:rsid w:val="00EF0828"/>
    <w:rsid w:val="00EF6F8B"/>
    <w:rsid w:val="00EF7158"/>
    <w:rsid w:val="00F03898"/>
    <w:rsid w:val="00F1527A"/>
    <w:rsid w:val="00F20C2F"/>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A4C98"/>
    <w:rsid w:val="00FA4FA5"/>
    <w:rsid w:val="00FB1D33"/>
    <w:rsid w:val="00FB5E96"/>
    <w:rsid w:val="00FC05A0"/>
    <w:rsid w:val="00FC6758"/>
    <w:rsid w:val="00FD34EA"/>
    <w:rsid w:val="00FD658C"/>
    <w:rsid w:val="00FE3F3E"/>
    <w:rsid w:val="00FE4D52"/>
    <w:rsid w:val="00FE5AEE"/>
    <w:rsid w:val="00FF106B"/>
    <w:rsid w:val="376F3B0D"/>
    <w:rsid w:val="6EAAA853"/>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CommentTextChar">
    <w:name w:val="Comment Text Char"/>
    <w:basedOn w:val="DefaultParagraphFont"/>
    <w:link w:val="CommentText"/>
    <w:semiHidden/>
    <w:rsid w:val="0049403D"/>
    <w:rPr>
      <w:rFonts w:ascii="Arial" w:hAnsi="Arial"/>
    </w:rPr>
  </w:style>
  <w:style w:type="character" w:styleId="CommentReference">
    <w:name w:val="annotation reference"/>
    <w:basedOn w:val="DefaultParagraphFont"/>
    <w:uiPriority w:val="99"/>
    <w:semiHidden/>
    <w:unhideWhenUsed/>
    <w:rsid w:val="0019256B"/>
    <w:rPr>
      <w:sz w:val="16"/>
      <w:szCs w:val="16"/>
    </w:rPr>
  </w:style>
  <w:style w:type="paragraph" w:styleId="CommentSubject">
    <w:name w:val="annotation subject"/>
    <w:basedOn w:val="CommentText"/>
    <w:next w:val="CommentText"/>
    <w:link w:val="CommentSubjectChar"/>
    <w:uiPriority w:val="99"/>
    <w:semiHidden/>
    <w:unhideWhenUsed/>
    <w:rsid w:val="0019256B"/>
    <w:rPr>
      <w:b/>
      <w:bCs/>
    </w:rPr>
  </w:style>
  <w:style w:type="character" w:customStyle="1" w:styleId="CommentSubjectChar">
    <w:name w:val="Comment Subject Char"/>
    <w:basedOn w:val="CommentTextChar"/>
    <w:link w:val="CommentSubject"/>
    <w:uiPriority w:val="99"/>
    <w:semiHidden/>
    <w:rsid w:val="0019256B"/>
    <w:rPr>
      <w:rFonts w:ascii="Arial" w:hAnsi="Arial"/>
      <w:b/>
      <w:bCs/>
    </w:rPr>
  </w:style>
  <w:style w:type="paragraph" w:styleId="Revision">
    <w:name w:val="Revision"/>
    <w:hidden/>
    <w:uiPriority w:val="99"/>
    <w:semiHidden/>
    <w:rsid w:val="002944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95B272-D5FF-490A-8B31-26D702F75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Anti-Parkinsonism Non-Ergot Dopamine Agonists PDL Edit</vt:lpstr>
    </vt:vector>
  </TitlesOfParts>
  <Company>DSS</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Anti-Parkinsonism Non-Ergot Dopamine Agonists PDL Edit</dc:title>
  <dc:creator>DMS</dc:creator>
  <cp:lastModifiedBy>Morsches, Phuonglinh</cp:lastModifiedBy>
  <cp:revision>44</cp:revision>
  <cp:lastPrinted>2018-10-31T20:17:00Z</cp:lastPrinted>
  <dcterms:created xsi:type="dcterms:W3CDTF">2025-12-10T02:29:00Z</dcterms:created>
  <dcterms:modified xsi:type="dcterms:W3CDTF">2025-12-17T04:09:00Z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