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BFD8" w14:textId="7F9C5CD2" w:rsidR="00AE77DB" w:rsidRPr="00C02553" w:rsidRDefault="000C3940" w:rsidP="00D02F34">
      <w:pPr>
        <w:pStyle w:val="Heading1"/>
        <w:rPr>
          <w:lang w:val="en-US"/>
        </w:rPr>
      </w:pPr>
      <w:bookmarkStart w:id="0" w:name="_Hlk792159"/>
      <w:proofErr w:type="spellStart"/>
      <w:r w:rsidRPr="00C02553">
        <w:rPr>
          <w:lang w:val="en-US"/>
        </w:rPr>
        <w:t>SmartPA</w:t>
      </w:r>
      <w:proofErr w:type="spellEnd"/>
      <w:r w:rsidRPr="00C02553">
        <w:rPr>
          <w:lang w:val="en-US"/>
        </w:rPr>
        <w:t xml:space="preserve"> Criteria Proposal</w:t>
      </w:r>
      <w:bookmarkEnd w:id="0"/>
    </w:p>
    <w:p w14:paraId="6413BFE7" w14:textId="506D81F7" w:rsidR="00AE77DB" w:rsidRPr="00C02553" w:rsidRDefault="00AE77DB" w:rsidP="00074464">
      <w:pPr>
        <w:rPr>
          <w:rFonts w:cs="Arial"/>
          <w:b/>
          <w:spacing w:val="-3"/>
          <w:szCs w:val="20"/>
        </w:rPr>
      </w:pPr>
    </w:p>
    <w:p w14:paraId="52CF6EBC" w14:textId="12C4E2D7" w:rsidR="004C5767" w:rsidRPr="008859E1" w:rsidRDefault="004C5767" w:rsidP="00D27533">
      <w:pPr>
        <w:pStyle w:val="tbody"/>
        <w:rPr>
          <w:b w:val="0"/>
          <w:bCs/>
        </w:rPr>
      </w:pPr>
      <w:r w:rsidRPr="00C02553">
        <w:t>Drug/Drug Class:</w:t>
      </w:r>
      <w:r w:rsidR="003B4820">
        <w:t xml:space="preserve"> </w:t>
      </w:r>
      <w:r w:rsidR="00392C4B" w:rsidRPr="00392C4B">
        <w:rPr>
          <w:b w:val="0"/>
          <w:bCs/>
        </w:rPr>
        <w:t>Anti-Amyloid Monoclonal Antibody Clinical Edit</w:t>
      </w:r>
    </w:p>
    <w:p w14:paraId="7AD7FFCE" w14:textId="29837832" w:rsidR="004C5767" w:rsidRPr="00C02553" w:rsidRDefault="004C5767" w:rsidP="00D27533">
      <w:pPr>
        <w:pStyle w:val="tbody"/>
      </w:pPr>
      <w:r w:rsidRPr="00C02553">
        <w:t xml:space="preserve">First Implementation Date: </w:t>
      </w:r>
      <w:r w:rsidR="007E2CDB" w:rsidRPr="007E2CDB">
        <w:rPr>
          <w:b w:val="0"/>
          <w:bCs/>
        </w:rPr>
        <w:t>January 27, 2022</w:t>
      </w:r>
    </w:p>
    <w:p w14:paraId="4B7D760D" w14:textId="34D8E710" w:rsidR="004C5767" w:rsidRPr="00D232D9" w:rsidRDefault="00D95E68" w:rsidP="15EB50BA">
      <w:pPr>
        <w:pStyle w:val="tbody"/>
        <w:rPr>
          <w:b w:val="0"/>
        </w:rPr>
      </w:pPr>
      <w:r>
        <w:t>Proposed</w:t>
      </w:r>
      <w:r w:rsidR="004C5767">
        <w:t xml:space="preserve"> Date:</w:t>
      </w:r>
      <w:r w:rsidR="00065C22">
        <w:t xml:space="preserve"> </w:t>
      </w:r>
      <w:r w:rsidR="00D232D9">
        <w:rPr>
          <w:b w:val="0"/>
        </w:rPr>
        <w:t xml:space="preserve">January </w:t>
      </w:r>
      <w:r w:rsidR="79C8556E">
        <w:rPr>
          <w:b w:val="0"/>
        </w:rPr>
        <w:t>20</w:t>
      </w:r>
      <w:r w:rsidR="00D232D9">
        <w:rPr>
          <w:b w:val="0"/>
        </w:rPr>
        <w:t>, 2026</w:t>
      </w:r>
    </w:p>
    <w:p w14:paraId="2726A013" w14:textId="3C40E9DA" w:rsidR="004C5767" w:rsidRPr="00C02553" w:rsidRDefault="004C5767" w:rsidP="00D27533">
      <w:pPr>
        <w:pStyle w:val="tbody"/>
      </w:pPr>
      <w:r w:rsidRPr="00C02553">
        <w:t xml:space="preserve">Prepared For: </w:t>
      </w:r>
      <w:r w:rsidR="00EE613F" w:rsidRPr="00D27533">
        <w:rPr>
          <w:b w:val="0"/>
          <w:bCs/>
        </w:rPr>
        <w:t>MO HealthNet</w:t>
      </w:r>
      <w:r w:rsidRPr="00C02553">
        <w:tab/>
      </w:r>
    </w:p>
    <w:p w14:paraId="0FD7BA18" w14:textId="61E24131" w:rsidR="004C5767" w:rsidRPr="00C02553" w:rsidRDefault="004C5767" w:rsidP="00D27533">
      <w:pPr>
        <w:pStyle w:val="tbody"/>
      </w:pPr>
      <w:r w:rsidRPr="00C02553">
        <w:t xml:space="preserve">Prepared By: </w:t>
      </w:r>
      <w:r w:rsidR="00303B21" w:rsidRPr="00D27533">
        <w:rPr>
          <w:b w:val="0"/>
          <w:bCs/>
        </w:rPr>
        <w:t>MO HealthNet and Conduent</w:t>
      </w:r>
      <w:r w:rsidRPr="00C02553">
        <w:tab/>
      </w:r>
    </w:p>
    <w:p w14:paraId="227AEF75" w14:textId="0091E13B" w:rsidR="004C5767" w:rsidRPr="00D27533" w:rsidRDefault="004C5767" w:rsidP="00D27533">
      <w:pPr>
        <w:pStyle w:val="tbody"/>
        <w:rPr>
          <w:b w:val="0"/>
          <w:bCs/>
          <w:spacing w:val="-3"/>
        </w:rPr>
      </w:pPr>
      <w:r w:rsidRPr="00C02553">
        <w:t xml:space="preserve">Criteria Status: </w:t>
      </w:r>
      <w:r w:rsidR="00566BE4">
        <w:rPr>
          <w:b w:val="0"/>
          <w:bCs/>
          <w:spacing w:val="-3"/>
        </w:rPr>
        <w:t>Revision of Existing Criteria</w:t>
      </w:r>
    </w:p>
    <w:p w14:paraId="03479354" w14:textId="77777777" w:rsidR="004C5767" w:rsidRPr="002C2C41" w:rsidRDefault="004C5767" w:rsidP="00E23EC0">
      <w:pPr>
        <w:rPr>
          <w:rFonts w:cs="Arial"/>
          <w:szCs w:val="20"/>
        </w:rPr>
      </w:pPr>
    </w:p>
    <w:p w14:paraId="6413BFE8" w14:textId="77777777" w:rsidR="00AE77DB" w:rsidRPr="00C02553" w:rsidRDefault="00AE77DB" w:rsidP="004C5767">
      <w:pPr>
        <w:pStyle w:val="Heading1"/>
        <w:rPr>
          <w:lang w:val="en-US"/>
        </w:rPr>
      </w:pPr>
      <w:r w:rsidRPr="00C02553">
        <w:rPr>
          <w:lang w:val="en-US"/>
        </w:rPr>
        <w:t xml:space="preserve">Executive Summary </w:t>
      </w:r>
    </w:p>
    <w:p w14:paraId="706FFC95" w14:textId="77777777" w:rsidR="00B33693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Purpose:</w:t>
      </w:r>
      <w:r w:rsidR="00290A03" w:rsidRPr="00696E3A">
        <w:rPr>
          <w:b/>
          <w:bCs/>
        </w:rPr>
        <w:t xml:space="preserve"> </w:t>
      </w:r>
    </w:p>
    <w:p w14:paraId="33DF7A62" w14:textId="3EEA7D86" w:rsidR="00D47996" w:rsidRDefault="79EEA449" w:rsidP="00696E3A">
      <w:r>
        <w:t>Ensure appropriate utilization and control of</w:t>
      </w:r>
      <w:r w:rsidR="00D969C4">
        <w:t xml:space="preserve"> </w:t>
      </w:r>
      <w:r w:rsidR="00D969C4">
        <w:rPr>
          <w:rFonts w:cs="Arial"/>
          <w:spacing w:val="-3"/>
        </w:rPr>
        <w:t>the a</w:t>
      </w:r>
      <w:r w:rsidR="00D969C4" w:rsidRPr="00EC51EE">
        <w:rPr>
          <w:rFonts w:cs="Arial"/>
          <w:spacing w:val="-3"/>
        </w:rPr>
        <w:t>nti-</w:t>
      </w:r>
      <w:r w:rsidR="00D969C4">
        <w:rPr>
          <w:rFonts w:cs="Arial"/>
          <w:spacing w:val="-3"/>
        </w:rPr>
        <w:t>a</w:t>
      </w:r>
      <w:r w:rsidR="00D969C4" w:rsidRPr="00EC51EE">
        <w:rPr>
          <w:rFonts w:cs="Arial"/>
          <w:spacing w:val="-3"/>
        </w:rPr>
        <w:t xml:space="preserve">myloid </w:t>
      </w:r>
      <w:r w:rsidR="00D969C4">
        <w:rPr>
          <w:rFonts w:cs="Arial"/>
          <w:spacing w:val="-3"/>
        </w:rPr>
        <w:t>m</w:t>
      </w:r>
      <w:r w:rsidR="00D969C4" w:rsidRPr="00EC51EE">
        <w:rPr>
          <w:rFonts w:cs="Arial"/>
          <w:spacing w:val="-3"/>
        </w:rPr>
        <w:t xml:space="preserve">onoclonal </w:t>
      </w:r>
      <w:r w:rsidR="00D969C4">
        <w:rPr>
          <w:rFonts w:cs="Arial"/>
          <w:spacing w:val="-3"/>
        </w:rPr>
        <w:t>a</w:t>
      </w:r>
      <w:r w:rsidR="00D969C4" w:rsidRPr="00EC51EE">
        <w:rPr>
          <w:rFonts w:cs="Arial"/>
          <w:spacing w:val="-3"/>
        </w:rPr>
        <w:t>ntibody</w:t>
      </w:r>
      <w:r w:rsidR="00D969C4">
        <w:rPr>
          <w:rFonts w:cs="Arial"/>
          <w:spacing w:val="-3"/>
        </w:rPr>
        <w:t xml:space="preserve"> agents.</w:t>
      </w:r>
      <w:r w:rsidR="00D47996">
        <w:t xml:space="preserve">  </w:t>
      </w:r>
    </w:p>
    <w:p w14:paraId="2320C114" w14:textId="4452B466" w:rsidR="00E23EC0" w:rsidRPr="002C2C41" w:rsidRDefault="00E23EC0" w:rsidP="00696E3A">
      <w:pPr>
        <w:rPr>
          <w:rFonts w:cs="Arial"/>
          <w:szCs w:val="20"/>
        </w:rPr>
      </w:pPr>
      <w:r w:rsidRPr="00C02553">
        <w:tab/>
      </w:r>
    </w:p>
    <w:p w14:paraId="3A9BE506" w14:textId="11761DC1" w:rsidR="00E23EC0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Why Issue Selected:</w:t>
      </w:r>
    </w:p>
    <w:p w14:paraId="300BD5B7" w14:textId="77777777" w:rsidR="00E7250C" w:rsidRPr="000D360D" w:rsidRDefault="00E7250C" w:rsidP="00E7250C">
      <w:pPr>
        <w:pStyle w:val="Header"/>
        <w:rPr>
          <w:rFonts w:cs="Arial"/>
          <w:spacing w:val="-3"/>
          <w:sz w:val="20"/>
        </w:rPr>
      </w:pPr>
      <w:r w:rsidRPr="000D360D">
        <w:rPr>
          <w:rFonts w:cs="Arial"/>
          <w:spacing w:val="-3"/>
          <w:sz w:val="20"/>
        </w:rPr>
        <w:t>Alzheimer’s disease (AD)</w:t>
      </w:r>
      <w:r>
        <w:rPr>
          <w:rFonts w:cs="Arial"/>
          <w:spacing w:val="-3"/>
          <w:sz w:val="20"/>
        </w:rPr>
        <w:t xml:space="preserve"> is</w:t>
      </w:r>
      <w:r w:rsidRPr="000D360D">
        <w:rPr>
          <w:rFonts w:cs="Arial"/>
          <w:spacing w:val="-3"/>
          <w:sz w:val="20"/>
        </w:rPr>
        <w:t xml:space="preserve"> an irreversible, progressive neurodegenerative disorder that leads to a continuous decline in cognition and physical functioning. AD is the most common cause of dementia in the United States, accounting for up to 80% of all dementia diagnoses, and is the sixth leading cause of death. </w:t>
      </w:r>
    </w:p>
    <w:p w14:paraId="51129650" w14:textId="77777777" w:rsidR="00E7250C" w:rsidRPr="000D360D" w:rsidRDefault="00E7250C" w:rsidP="00E7250C">
      <w:pPr>
        <w:pStyle w:val="Header"/>
        <w:rPr>
          <w:rFonts w:cs="Arial"/>
          <w:spacing w:val="-3"/>
          <w:sz w:val="20"/>
        </w:rPr>
      </w:pPr>
    </w:p>
    <w:p w14:paraId="511D5AD2" w14:textId="77777777" w:rsidR="00E7250C" w:rsidRDefault="00E7250C" w:rsidP="00E7250C">
      <w:pPr>
        <w:pStyle w:val="Header"/>
        <w:rPr>
          <w:rFonts w:cs="Arial"/>
          <w:spacing w:val="-3"/>
          <w:sz w:val="20"/>
        </w:rPr>
      </w:pPr>
      <w:r w:rsidRPr="00B63AF9">
        <w:rPr>
          <w:rFonts w:cs="Arial"/>
          <w:spacing w:val="-3"/>
          <w:sz w:val="20"/>
        </w:rPr>
        <w:t xml:space="preserve">AD is </w:t>
      </w:r>
      <w:r>
        <w:rPr>
          <w:rFonts w:cs="Arial"/>
          <w:spacing w:val="-3"/>
          <w:sz w:val="20"/>
        </w:rPr>
        <w:t>thought to be caused</w:t>
      </w:r>
      <w:r w:rsidRPr="00B63AF9">
        <w:rPr>
          <w:rFonts w:cs="Arial"/>
          <w:spacing w:val="-3"/>
          <w:sz w:val="20"/>
        </w:rPr>
        <w:t xml:space="preserve"> by increased brain amyloid beta (Aβ), which cause plaques, and phosphorylated tau (p-tau), which form neurofibrillary tangles, that precede cognitive impairment.</w:t>
      </w:r>
      <w:r>
        <w:rPr>
          <w:rFonts w:cs="Arial"/>
          <w:spacing w:val="-3"/>
          <w:sz w:val="20"/>
        </w:rPr>
        <w:t xml:space="preserve"> </w:t>
      </w:r>
      <w:r w:rsidRPr="005D0A6D">
        <w:rPr>
          <w:rFonts w:cs="Arial"/>
          <w:spacing w:val="-3"/>
          <w:sz w:val="20"/>
        </w:rPr>
        <w:t xml:space="preserve">Treatment with </w:t>
      </w:r>
      <w:r>
        <w:rPr>
          <w:rFonts w:cs="Arial"/>
          <w:spacing w:val="-3"/>
          <w:sz w:val="20"/>
        </w:rPr>
        <w:t>an</w:t>
      </w:r>
      <w:r w:rsidRPr="005D0A6D">
        <w:rPr>
          <w:rFonts w:cs="Arial"/>
          <w:spacing w:val="-3"/>
          <w:sz w:val="18"/>
          <w:szCs w:val="18"/>
        </w:rPr>
        <w:t xml:space="preserve"> </w:t>
      </w:r>
      <w:r w:rsidRPr="005D0A6D">
        <w:rPr>
          <w:rFonts w:cs="Arial"/>
          <w:spacing w:val="-3"/>
          <w:sz w:val="20"/>
          <w:szCs w:val="18"/>
        </w:rPr>
        <w:t>anti-amyloid monoclonal antibody</w:t>
      </w:r>
      <w:r w:rsidRPr="005D0A6D">
        <w:rPr>
          <w:rFonts w:cs="Arial"/>
          <w:spacing w:val="-3"/>
          <w:sz w:val="18"/>
          <w:szCs w:val="18"/>
        </w:rPr>
        <w:t xml:space="preserve"> </w:t>
      </w:r>
      <w:r>
        <w:rPr>
          <w:rFonts w:cs="Arial"/>
          <w:spacing w:val="-3"/>
          <w:sz w:val="18"/>
          <w:szCs w:val="18"/>
        </w:rPr>
        <w:t xml:space="preserve">is designed to slow the progression of AD, though therapy </w:t>
      </w:r>
      <w:r w:rsidRPr="005D0A6D">
        <w:rPr>
          <w:rFonts w:cs="Arial"/>
          <w:spacing w:val="-3"/>
          <w:sz w:val="20"/>
        </w:rPr>
        <w:t>should be initiated only in patients with mild cognitive impairment or mild dementia</w:t>
      </w:r>
      <w:r>
        <w:rPr>
          <w:rFonts w:cs="Arial"/>
          <w:spacing w:val="-3"/>
          <w:sz w:val="20"/>
        </w:rPr>
        <w:t xml:space="preserve"> </w:t>
      </w:r>
      <w:r w:rsidRPr="005D0A6D">
        <w:rPr>
          <w:rFonts w:cs="Arial"/>
          <w:spacing w:val="-3"/>
          <w:sz w:val="20"/>
        </w:rPr>
        <w:t>as there are no safety or efficacy data at earlier or later stages of disease.</w:t>
      </w:r>
      <w:r w:rsidRPr="000D360D">
        <w:rPr>
          <w:rFonts w:cs="Arial"/>
          <w:spacing w:val="-3"/>
          <w:sz w:val="20"/>
        </w:rPr>
        <w:t xml:space="preserve"> All patients in the clinical trials had confirmed amyloid pathology. These agents require frequent brain MRIs (magnetic resonance imaging) to assess for ARIA-E (amyloid-related imaging abnormalities – edema), which can be observed on imaging studies as brain/cerebral edema or sulcal effusions, and ARIA-H (amyloid-related imaging abnormalities - hemosiderin deposition), which includes microhemorrhage and superficial hemosiderosis in the brain. </w:t>
      </w:r>
      <w:r>
        <w:rPr>
          <w:rFonts w:cs="Arial"/>
          <w:spacing w:val="-3"/>
          <w:sz w:val="20"/>
        </w:rPr>
        <w:t xml:space="preserve">All agents have a boxed warning detailing these risks, as well as indicating that individuals who are </w:t>
      </w:r>
      <w:r w:rsidRPr="005D0A6D">
        <w:rPr>
          <w:rFonts w:cs="Arial"/>
          <w:spacing w:val="-3"/>
          <w:sz w:val="20"/>
        </w:rPr>
        <w:t>apolipoprotein E ε4 homozygotes have a higher incidence of ARIA</w:t>
      </w:r>
      <w:r>
        <w:rPr>
          <w:rFonts w:cs="Arial"/>
          <w:spacing w:val="-3"/>
          <w:sz w:val="20"/>
        </w:rPr>
        <w:t>.</w:t>
      </w:r>
    </w:p>
    <w:p w14:paraId="6E32095F" w14:textId="77777777" w:rsidR="00E7250C" w:rsidRDefault="00E7250C" w:rsidP="00E7250C">
      <w:pPr>
        <w:pStyle w:val="Header"/>
        <w:rPr>
          <w:rFonts w:cs="Arial"/>
          <w:spacing w:val="-3"/>
          <w:sz w:val="20"/>
        </w:rPr>
      </w:pPr>
    </w:p>
    <w:p w14:paraId="7ACECC9F" w14:textId="109E6E9C" w:rsidR="00B56DCC" w:rsidRDefault="00E7250C" w:rsidP="00E7250C">
      <w:pPr>
        <w:rPr>
          <w:rFonts w:cs="Arial"/>
          <w:spacing w:val="-3"/>
        </w:rPr>
      </w:pPr>
      <w:r w:rsidRPr="000D360D">
        <w:rPr>
          <w:rFonts w:cs="Arial"/>
          <w:spacing w:val="-3"/>
        </w:rPr>
        <w:t xml:space="preserve">Due to the high cost, possible adverse events, and specific approved indication, MO HealthNet will impose clinical criteria to ensure appropriate utilization of these therapies.  </w:t>
      </w:r>
    </w:p>
    <w:p w14:paraId="2C01D942" w14:textId="77777777" w:rsidR="00E7250C" w:rsidRDefault="00E7250C" w:rsidP="00E7250C"/>
    <w:p w14:paraId="5B5260CF" w14:textId="7E68CF38" w:rsidR="003D4704" w:rsidRPr="008365C6" w:rsidRDefault="003D4704" w:rsidP="003D4704">
      <w:pPr>
        <w:rPr>
          <w:b/>
          <w:bCs/>
        </w:rPr>
      </w:pPr>
      <w:r>
        <w:rPr>
          <w:b/>
          <w:bCs/>
        </w:rPr>
        <w:t>Program-Specific Information</w:t>
      </w:r>
      <w:r w:rsidR="008365C6">
        <w:rPr>
          <w:b/>
          <w:bCs/>
        </w:rPr>
        <w:t xml:space="preserve"> – </w:t>
      </w:r>
      <w:r w:rsidRPr="008365C6">
        <w:rPr>
          <w:b/>
          <w:bCs/>
        </w:rPr>
        <w:t>Dat</w:t>
      </w:r>
      <w:r w:rsidR="00E642C6">
        <w:rPr>
          <w:b/>
          <w:bCs/>
        </w:rPr>
        <w:t>e</w:t>
      </w:r>
      <w:r w:rsidRPr="008365C6">
        <w:rPr>
          <w:b/>
          <w:bCs/>
        </w:rPr>
        <w:t xml:space="preserve"> Range FFS </w:t>
      </w:r>
      <w:r w:rsidR="3EE5225B" w:rsidRPr="008365C6">
        <w:rPr>
          <w:b/>
          <w:bCs/>
        </w:rPr>
        <w:t>10</w:t>
      </w:r>
      <w:r w:rsidRPr="008365C6">
        <w:rPr>
          <w:b/>
          <w:bCs/>
        </w:rPr>
        <w:t xml:space="preserve">-1-2024 to </w:t>
      </w:r>
      <w:r w:rsidR="60B9B224" w:rsidRPr="008365C6">
        <w:rPr>
          <w:b/>
          <w:bCs/>
        </w:rPr>
        <w:t>9</w:t>
      </w:r>
      <w:r w:rsidRPr="008365C6">
        <w:rPr>
          <w:b/>
          <w:bCs/>
        </w:rPr>
        <w:t>-30-2025</w:t>
      </w:r>
      <w:r w:rsidR="00E642C6">
        <w:rPr>
          <w:b/>
          <w:bCs/>
        </w:rPr>
        <w:t>:</w:t>
      </w:r>
    </w:p>
    <w:tbl>
      <w:tblPr>
        <w:tblW w:w="9175" w:type="dxa"/>
        <w:tblLayout w:type="fixed"/>
        <w:tblLook w:val="04A0" w:firstRow="1" w:lastRow="0" w:firstColumn="1" w:lastColumn="0" w:noHBand="0" w:noVBand="1"/>
      </w:tblPr>
      <w:tblGrid>
        <w:gridCol w:w="3955"/>
        <w:gridCol w:w="1350"/>
        <w:gridCol w:w="1350"/>
        <w:gridCol w:w="2520"/>
      </w:tblGrid>
      <w:tr w:rsidR="003D4704" w:rsidRPr="00902CF9" w14:paraId="7E639B47" w14:textId="77777777" w:rsidTr="00E642C6">
        <w:trPr>
          <w:trHeight w:val="232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258BA66" w14:textId="77777777" w:rsidR="003D4704" w:rsidRPr="00902CF9" w:rsidRDefault="003D4704" w:rsidP="00706C9F">
            <w:pPr>
              <w:jc w:val="center"/>
              <w:rPr>
                <w:rFonts w:cs="Arial"/>
                <w:b/>
                <w:bCs/>
                <w:spacing w:val="-3"/>
                <w:szCs w:val="20"/>
              </w:rPr>
            </w:pPr>
            <w:r w:rsidRPr="00902CF9">
              <w:rPr>
                <w:rFonts w:cs="Arial"/>
                <w:b/>
                <w:bCs/>
                <w:spacing w:val="-3"/>
                <w:szCs w:val="20"/>
              </w:rPr>
              <w:t>Drug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20F37C53" w14:textId="77777777" w:rsidR="003D4704" w:rsidRPr="00902CF9" w:rsidRDefault="003D4704" w:rsidP="00706C9F">
            <w:pPr>
              <w:jc w:val="center"/>
              <w:rPr>
                <w:rFonts w:cs="Arial"/>
                <w:b/>
                <w:bCs/>
                <w:spacing w:val="-3"/>
                <w:szCs w:val="20"/>
              </w:rPr>
            </w:pPr>
            <w:r w:rsidRPr="00902CF9">
              <w:rPr>
                <w:rFonts w:cs="Arial"/>
                <w:b/>
                <w:bCs/>
                <w:spacing w:val="-3"/>
                <w:szCs w:val="20"/>
              </w:rPr>
              <w:t>Claims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5329A6D5" w14:textId="77777777" w:rsidR="0026078F" w:rsidRDefault="006E1B70" w:rsidP="00706C9F">
            <w:pPr>
              <w:jc w:val="center"/>
              <w:rPr>
                <w:rFonts w:cs="Arial"/>
                <w:b/>
                <w:spacing w:val="-3"/>
                <w:szCs w:val="20"/>
              </w:rPr>
            </w:pPr>
            <w:r w:rsidRPr="007B40D9">
              <w:rPr>
                <w:rFonts w:cs="Arial"/>
                <w:b/>
                <w:spacing w:val="-3"/>
                <w:szCs w:val="20"/>
              </w:rPr>
              <w:t>Cost per vial</w:t>
            </w:r>
          </w:p>
          <w:p w14:paraId="37F54882" w14:textId="58D7356E" w:rsidR="003D4704" w:rsidRPr="00902CF9" w:rsidRDefault="006E1B70" w:rsidP="00706C9F">
            <w:pPr>
              <w:jc w:val="center"/>
              <w:rPr>
                <w:rFonts w:cs="Arial"/>
                <w:b/>
                <w:bCs/>
                <w:spacing w:val="-3"/>
                <w:szCs w:val="20"/>
              </w:rPr>
            </w:pPr>
            <w:r w:rsidRPr="007B40D9">
              <w:rPr>
                <w:rFonts w:cs="Arial"/>
                <w:b/>
                <w:spacing w:val="-3"/>
                <w:sz w:val="16"/>
                <w:szCs w:val="16"/>
              </w:rPr>
              <w:t>(MAC</w:t>
            </w:r>
            <w:r w:rsidR="000805F8">
              <w:rPr>
                <w:rFonts w:cs="Arial"/>
                <w:b/>
                <w:spacing w:val="-3"/>
                <w:sz w:val="16"/>
                <w:szCs w:val="16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57EB713A" w14:textId="0046EB70" w:rsidR="003D4704" w:rsidRPr="00902CF9" w:rsidRDefault="00C91732" w:rsidP="00706C9F">
            <w:pPr>
              <w:jc w:val="center"/>
              <w:rPr>
                <w:rFonts w:cs="Arial"/>
                <w:b/>
                <w:bCs/>
                <w:spacing w:val="-3"/>
                <w:szCs w:val="20"/>
              </w:rPr>
            </w:pPr>
            <w:r w:rsidRPr="007B40D9">
              <w:rPr>
                <w:rFonts w:cs="Arial"/>
                <w:b/>
                <w:spacing w:val="-3"/>
                <w:szCs w:val="20"/>
              </w:rPr>
              <w:t xml:space="preserve">Cost of therapy based on a 70 kg participant </w:t>
            </w:r>
            <w:r w:rsidRPr="007B40D9">
              <w:rPr>
                <w:rFonts w:cs="Arial"/>
                <w:b/>
                <w:spacing w:val="-3"/>
                <w:sz w:val="16"/>
                <w:szCs w:val="16"/>
              </w:rPr>
              <w:t>(MAC)</w:t>
            </w:r>
          </w:p>
        </w:tc>
      </w:tr>
      <w:tr w:rsidR="00DC3D84" w:rsidRPr="00902CF9" w14:paraId="29C2C6B5" w14:textId="77777777" w:rsidTr="00E642C6">
        <w:trPr>
          <w:trHeight w:val="232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F17F" w14:textId="68A302AD" w:rsidR="00DC3D84" w:rsidRPr="00902CF9" w:rsidRDefault="00DC3D84" w:rsidP="00DC3D84">
            <w:pPr>
              <w:rPr>
                <w:rFonts w:cs="Arial"/>
                <w:szCs w:val="20"/>
              </w:rPr>
            </w:pPr>
            <w:r w:rsidRPr="00C85123">
              <w:rPr>
                <w:rFonts w:cs="Arial"/>
                <w:caps/>
                <w:spacing w:val="-3"/>
                <w:szCs w:val="20"/>
              </w:rPr>
              <w:t>KISUNLA 350 MG/20 ML VIAL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74F8" w14:textId="72A6404D" w:rsidR="00DC3D84" w:rsidRPr="00902CF9" w:rsidRDefault="00A13B73" w:rsidP="00DC3D8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3425" w14:textId="2BB4B17F" w:rsidR="00DC3D84" w:rsidRPr="002542F7" w:rsidRDefault="00CF3AB8" w:rsidP="00CF3AB8">
            <w:pPr>
              <w:jc w:val="center"/>
              <w:rPr>
                <w:rFonts w:cs="Arial"/>
                <w:szCs w:val="20"/>
              </w:rPr>
            </w:pPr>
            <w:r w:rsidRPr="002542F7">
              <w:rPr>
                <w:rFonts w:cs="Arial"/>
                <w:szCs w:val="20"/>
              </w:rPr>
              <w:t>$700.83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586B" w14:textId="30CCA7A8" w:rsidR="00DC3D84" w:rsidRPr="002542F7" w:rsidRDefault="002542F7" w:rsidP="00CF3AB8">
            <w:pPr>
              <w:jc w:val="center"/>
              <w:rPr>
                <w:rFonts w:cs="Arial"/>
                <w:szCs w:val="20"/>
              </w:rPr>
            </w:pPr>
            <w:r w:rsidRPr="002542F7">
              <w:rPr>
                <w:rFonts w:cs="Arial"/>
                <w:szCs w:val="20"/>
              </w:rPr>
              <w:t>$32,238.18</w:t>
            </w:r>
          </w:p>
        </w:tc>
      </w:tr>
      <w:tr w:rsidR="00DC3D84" w:rsidRPr="00902CF9" w14:paraId="171766A2" w14:textId="77777777" w:rsidTr="00E642C6">
        <w:trPr>
          <w:trHeight w:val="232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4E92" w14:textId="50AA8CAD" w:rsidR="00DC3D84" w:rsidRPr="00902CF9" w:rsidRDefault="00DC3D84" w:rsidP="00DC3D84">
            <w:pPr>
              <w:rPr>
                <w:rFonts w:cs="Arial"/>
                <w:szCs w:val="20"/>
              </w:rPr>
            </w:pPr>
            <w:r w:rsidRPr="00743B7B">
              <w:rPr>
                <w:rFonts w:cs="Arial"/>
                <w:caps/>
                <w:spacing w:val="-3"/>
                <w:szCs w:val="20"/>
              </w:rPr>
              <w:t>LEQEMBI 200 MG/2 ML VIAL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221E" w14:textId="6EFDB08C" w:rsidR="00DC3D84" w:rsidRPr="00902CF9" w:rsidRDefault="00A13B73" w:rsidP="00DC3D8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7BAA" w14:textId="0B52FD46" w:rsidR="00DC3D84" w:rsidRPr="00396DFB" w:rsidRDefault="00CF3AB8" w:rsidP="00CF3AB8">
            <w:pPr>
              <w:jc w:val="center"/>
              <w:rPr>
                <w:rFonts w:cs="Arial"/>
                <w:szCs w:val="20"/>
              </w:rPr>
            </w:pPr>
            <w:r w:rsidRPr="00396DFB">
              <w:rPr>
                <w:rFonts w:cs="Arial"/>
                <w:szCs w:val="20"/>
              </w:rPr>
              <w:t>$262.52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0D64" w14:textId="390D4DF0" w:rsidR="00DC3D84" w:rsidRPr="00396DFB" w:rsidRDefault="00CB3BCD" w:rsidP="00CF3AB8">
            <w:pPr>
              <w:jc w:val="center"/>
              <w:rPr>
                <w:rFonts w:cs="Arial"/>
                <w:szCs w:val="20"/>
              </w:rPr>
            </w:pPr>
            <w:r w:rsidRPr="00396DFB">
              <w:rPr>
                <w:rFonts w:cs="Arial"/>
                <w:szCs w:val="20"/>
              </w:rPr>
              <w:t>$23,889.32</w:t>
            </w:r>
          </w:p>
        </w:tc>
      </w:tr>
      <w:tr w:rsidR="00DC3D84" w:rsidRPr="00902CF9" w14:paraId="13398ACA" w14:textId="77777777" w:rsidTr="00E642C6">
        <w:trPr>
          <w:trHeight w:val="232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8F4D" w14:textId="39E39CEB" w:rsidR="00DC3D84" w:rsidRPr="00902CF9" w:rsidRDefault="00DC3D84" w:rsidP="00DC3D84">
            <w:pPr>
              <w:rPr>
                <w:rFonts w:cs="Arial"/>
                <w:szCs w:val="20"/>
              </w:rPr>
            </w:pPr>
            <w:r w:rsidRPr="00743B7B">
              <w:rPr>
                <w:rFonts w:cs="Arial"/>
                <w:caps/>
                <w:spacing w:val="-3"/>
                <w:szCs w:val="20"/>
              </w:rPr>
              <w:t>LEQEMBI 500 MG/5 ML VIAL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49ED" w14:textId="156ADE54" w:rsidR="00DC3D84" w:rsidRPr="00902CF9" w:rsidRDefault="00A13B73" w:rsidP="00DC3D8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D17A" w14:textId="3A00C5FD" w:rsidR="00DC3D84" w:rsidRPr="00396DFB" w:rsidRDefault="00CF3AB8" w:rsidP="00CF3AB8">
            <w:pPr>
              <w:jc w:val="center"/>
              <w:rPr>
                <w:rFonts w:cs="Arial"/>
                <w:szCs w:val="20"/>
              </w:rPr>
            </w:pPr>
            <w:r w:rsidRPr="00396DFB">
              <w:rPr>
                <w:rFonts w:cs="Arial"/>
                <w:szCs w:val="20"/>
              </w:rPr>
              <w:t>$656.31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20FE" w14:textId="25E9655E" w:rsidR="00DC3D84" w:rsidRPr="00396DFB" w:rsidRDefault="00CB3BCD" w:rsidP="00CF3AB8">
            <w:pPr>
              <w:jc w:val="center"/>
              <w:rPr>
                <w:rFonts w:cs="Arial"/>
                <w:szCs w:val="20"/>
              </w:rPr>
            </w:pPr>
            <w:r w:rsidRPr="00396DFB">
              <w:rPr>
                <w:rFonts w:cs="Arial"/>
                <w:szCs w:val="20"/>
              </w:rPr>
              <w:t>$23,889.32</w:t>
            </w:r>
          </w:p>
        </w:tc>
      </w:tr>
      <w:tr w:rsidR="00A13B73" w:rsidRPr="00902CF9" w14:paraId="063FA3CA" w14:textId="77777777" w:rsidTr="00E642C6">
        <w:trPr>
          <w:trHeight w:val="232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8066" w14:textId="3249B742" w:rsidR="00A13B73" w:rsidRPr="00743B7B" w:rsidRDefault="00A13B73" w:rsidP="00DC3D84">
            <w:pPr>
              <w:rPr>
                <w:rFonts w:cs="Arial"/>
                <w:caps/>
                <w:spacing w:val="-3"/>
                <w:szCs w:val="20"/>
              </w:rPr>
            </w:pPr>
            <w:r w:rsidRPr="00A13B73">
              <w:rPr>
                <w:rFonts w:cs="Arial"/>
                <w:caps/>
                <w:spacing w:val="-3"/>
                <w:szCs w:val="20"/>
              </w:rPr>
              <w:t>LEQEMBI IQLIK 360 MG/1.8 AUTO INJCT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800E" w14:textId="3FDFEC8C" w:rsidR="00A13B73" w:rsidRPr="00902CF9" w:rsidRDefault="00A13B73" w:rsidP="00DC3D8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5900" w14:textId="4EA3F865" w:rsidR="00A13B73" w:rsidRPr="00396DFB" w:rsidRDefault="00CF3AB8" w:rsidP="00CF3AB8">
            <w:pPr>
              <w:jc w:val="center"/>
              <w:rPr>
                <w:rFonts w:cs="Arial"/>
                <w:szCs w:val="20"/>
              </w:rPr>
            </w:pPr>
            <w:r w:rsidRPr="00396DFB">
              <w:rPr>
                <w:rFonts w:cs="Arial"/>
                <w:szCs w:val="20"/>
              </w:rPr>
              <w:t>$373.13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2C84" w14:textId="43607A3D" w:rsidR="00A13B73" w:rsidRPr="00396DFB" w:rsidRDefault="00396DFB" w:rsidP="00CF3AB8">
            <w:pPr>
              <w:jc w:val="center"/>
              <w:rPr>
                <w:rFonts w:cs="Arial"/>
                <w:szCs w:val="20"/>
              </w:rPr>
            </w:pPr>
            <w:r w:rsidRPr="00396DFB">
              <w:rPr>
                <w:rFonts w:cs="Arial"/>
                <w:szCs w:val="20"/>
              </w:rPr>
              <w:t>$19,402.76</w:t>
            </w:r>
          </w:p>
        </w:tc>
      </w:tr>
    </w:tbl>
    <w:p w14:paraId="4691DC98" w14:textId="77777777" w:rsidR="003D4704" w:rsidRDefault="003D4704" w:rsidP="003D4704">
      <w:pPr>
        <w:rPr>
          <w:rFonts w:cs="Arial"/>
          <w:szCs w:val="20"/>
        </w:rPr>
      </w:pPr>
    </w:p>
    <w:p w14:paraId="6413C027" w14:textId="18F824F6" w:rsidR="00AE77DB" w:rsidRPr="00C02553" w:rsidRDefault="00AE77DB" w:rsidP="00E354AA">
      <w:pPr>
        <w:pStyle w:val="Heading1"/>
        <w:rPr>
          <w:lang w:val="en-US"/>
        </w:rPr>
      </w:pPr>
      <w:r w:rsidRPr="00C02553">
        <w:rPr>
          <w:lang w:val="en-US"/>
        </w:rPr>
        <w:t xml:space="preserve">Setting &amp; Population </w:t>
      </w:r>
    </w:p>
    <w:p w14:paraId="04B7FBFB" w14:textId="537FEA3F" w:rsidR="0097028A" w:rsidRPr="0079438F" w:rsidRDefault="0097028A" w:rsidP="00696E3A">
      <w:pPr>
        <w:rPr>
          <w:b/>
        </w:rPr>
      </w:pPr>
      <w:r w:rsidRPr="00696E3A">
        <w:rPr>
          <w:b/>
          <w:bCs/>
        </w:rPr>
        <w:t>Drug class for review:</w:t>
      </w:r>
      <w:r w:rsidRPr="00C02553">
        <w:t xml:space="preserve"> </w:t>
      </w:r>
      <w:r w:rsidR="001A11F0">
        <w:rPr>
          <w:rFonts w:cs="Arial"/>
          <w:szCs w:val="20"/>
        </w:rPr>
        <w:t>Anti-amyloid monoclonal antibody agents</w:t>
      </w:r>
    </w:p>
    <w:p w14:paraId="26CFE8A0" w14:textId="0F973940" w:rsidR="008524BA" w:rsidRDefault="0097028A" w:rsidP="00696E3A">
      <w:pPr>
        <w:rPr>
          <w:rFonts w:cs="Arial"/>
          <w:b/>
        </w:rPr>
      </w:pPr>
      <w:r w:rsidRPr="00696E3A">
        <w:rPr>
          <w:b/>
          <w:bCs/>
        </w:rPr>
        <w:t>Age range:</w:t>
      </w:r>
      <w:r w:rsidRPr="00C02553">
        <w:t xml:space="preserve"> </w:t>
      </w:r>
      <w:r w:rsidR="00FC2574">
        <w:rPr>
          <w:rFonts w:cs="Arial"/>
          <w:szCs w:val="20"/>
        </w:rPr>
        <w:t>All appropriate MO HealthNet participants aged 50 years or older</w:t>
      </w:r>
    </w:p>
    <w:p w14:paraId="7F2A9816" w14:textId="77777777" w:rsidR="005328B2" w:rsidRDefault="005328B2" w:rsidP="005328B2">
      <w:pPr>
        <w:rPr>
          <w:rFonts w:cs="Arial"/>
          <w:szCs w:val="20"/>
        </w:rPr>
      </w:pPr>
    </w:p>
    <w:p w14:paraId="340A0600" w14:textId="77777777" w:rsidR="00430D4B" w:rsidRDefault="00430D4B" w:rsidP="005328B2">
      <w:pPr>
        <w:rPr>
          <w:rFonts w:cs="Arial"/>
          <w:szCs w:val="20"/>
        </w:rPr>
      </w:pPr>
    </w:p>
    <w:p w14:paraId="12EA79D3" w14:textId="77777777" w:rsidR="00430D4B" w:rsidRPr="002C2C41" w:rsidRDefault="00430D4B" w:rsidP="005328B2">
      <w:pPr>
        <w:rPr>
          <w:rFonts w:cs="Arial"/>
          <w:szCs w:val="20"/>
        </w:rPr>
      </w:pPr>
    </w:p>
    <w:p w14:paraId="6413C035" w14:textId="4FE30429" w:rsidR="00AE77DB" w:rsidRPr="00C02553" w:rsidRDefault="00AE77DB" w:rsidP="0097028A">
      <w:pPr>
        <w:pStyle w:val="Heading1"/>
        <w:rPr>
          <w:lang w:val="en-US"/>
        </w:rPr>
      </w:pPr>
      <w:r w:rsidRPr="00C02553">
        <w:rPr>
          <w:lang w:val="en-US"/>
        </w:rPr>
        <w:t>Approval Criteria</w:t>
      </w:r>
    </w:p>
    <w:p w14:paraId="4BAA1D7A" w14:textId="77777777" w:rsidR="00635DDB" w:rsidRPr="00696E3A" w:rsidRDefault="00635DDB" w:rsidP="00635DDB">
      <w:pPr>
        <w:rPr>
          <w:b/>
          <w:bCs/>
        </w:rPr>
      </w:pPr>
      <w:r w:rsidRPr="00696E3A">
        <w:rPr>
          <w:b/>
          <w:bCs/>
        </w:rPr>
        <w:t>Initial Therapy:</w:t>
      </w:r>
    </w:p>
    <w:p w14:paraId="64EA0D96" w14:textId="77777777" w:rsidR="00430D4B" w:rsidRPr="00D141C3" w:rsidRDefault="00430D4B" w:rsidP="00430D4B">
      <w:pPr>
        <w:pStyle w:val="ListParagraph"/>
        <w:numPr>
          <w:ilvl w:val="0"/>
          <w:numId w:val="17"/>
        </w:numPr>
        <w:rPr>
          <w:rFonts w:cs="Arial"/>
          <w:bCs/>
          <w:szCs w:val="20"/>
        </w:rPr>
      </w:pPr>
      <w:r w:rsidRPr="00D141C3">
        <w:rPr>
          <w:rFonts w:cs="Arial"/>
          <w:bCs/>
          <w:szCs w:val="20"/>
        </w:rPr>
        <w:t>Must meet all of the following:</w:t>
      </w:r>
    </w:p>
    <w:p w14:paraId="021815F4" w14:textId="77777777" w:rsidR="00430D4B" w:rsidRPr="00D0553C" w:rsidRDefault="00430D4B" w:rsidP="00430D4B">
      <w:pPr>
        <w:pStyle w:val="ListParagraph"/>
        <w:numPr>
          <w:ilvl w:val="0"/>
          <w:numId w:val="18"/>
        </w:numPr>
        <w:rPr>
          <w:rFonts w:cs="Arial"/>
          <w:bCs/>
          <w:szCs w:val="20"/>
        </w:rPr>
      </w:pPr>
      <w:r w:rsidRPr="00D0553C">
        <w:rPr>
          <w:rFonts w:cs="Arial"/>
          <w:bCs/>
          <w:szCs w:val="20"/>
        </w:rPr>
        <w:t>Participant is aged 50 years or older</w:t>
      </w:r>
      <w:r>
        <w:rPr>
          <w:rFonts w:cs="Arial"/>
          <w:bCs/>
          <w:szCs w:val="20"/>
        </w:rPr>
        <w:t>;</w:t>
      </w:r>
    </w:p>
    <w:p w14:paraId="710ED8AD" w14:textId="77777777" w:rsidR="00430D4B" w:rsidRPr="00D0553C" w:rsidRDefault="00430D4B" w:rsidP="00430D4B">
      <w:pPr>
        <w:pStyle w:val="ListParagraph"/>
        <w:numPr>
          <w:ilvl w:val="0"/>
          <w:numId w:val="18"/>
        </w:numPr>
        <w:rPr>
          <w:rFonts w:cs="Arial"/>
          <w:bCs/>
          <w:szCs w:val="20"/>
        </w:rPr>
      </w:pPr>
      <w:r w:rsidRPr="00D0553C">
        <w:rPr>
          <w:rFonts w:cs="Arial"/>
          <w:bCs/>
          <w:szCs w:val="20"/>
        </w:rPr>
        <w:t>Prescribed by or in consultation with a neurologist, geriatrician, or other specialist in the treated disease state</w:t>
      </w:r>
      <w:r>
        <w:rPr>
          <w:rFonts w:cs="Arial"/>
          <w:bCs/>
          <w:szCs w:val="20"/>
        </w:rPr>
        <w:t>;</w:t>
      </w:r>
    </w:p>
    <w:p w14:paraId="619B570A" w14:textId="77777777" w:rsidR="00430D4B" w:rsidRPr="00965368" w:rsidRDefault="00430D4B" w:rsidP="00430D4B">
      <w:pPr>
        <w:pStyle w:val="ListParagraph"/>
        <w:numPr>
          <w:ilvl w:val="0"/>
          <w:numId w:val="18"/>
        </w:numPr>
        <w:rPr>
          <w:rFonts w:cs="Arial"/>
          <w:bCs/>
          <w:szCs w:val="20"/>
        </w:rPr>
      </w:pPr>
      <w:r w:rsidRPr="00965368">
        <w:rPr>
          <w:rFonts w:cs="Arial"/>
          <w:bCs/>
          <w:szCs w:val="20"/>
        </w:rPr>
        <w:t>Documented diagnosis of early Alzheimer’s disease; defined as mild cognitive impairment or mild dementia stage of disease (Stage 3 or 4);</w:t>
      </w:r>
    </w:p>
    <w:p w14:paraId="1F6704A9" w14:textId="77777777" w:rsidR="00430D4B" w:rsidRPr="00965368" w:rsidRDefault="00430D4B" w:rsidP="00430D4B">
      <w:pPr>
        <w:pStyle w:val="ListParagraph"/>
        <w:numPr>
          <w:ilvl w:val="0"/>
          <w:numId w:val="18"/>
        </w:numPr>
        <w:rPr>
          <w:rFonts w:cs="Arial"/>
          <w:bCs/>
          <w:szCs w:val="20"/>
        </w:rPr>
      </w:pPr>
      <w:r w:rsidRPr="00965368">
        <w:rPr>
          <w:rFonts w:cs="Arial"/>
          <w:bCs/>
          <w:szCs w:val="20"/>
        </w:rPr>
        <w:t>Diagnosis must be confirmed by the MMSE (Mini Mental State Exam);</w:t>
      </w:r>
    </w:p>
    <w:p w14:paraId="4E2A7BB2" w14:textId="77777777" w:rsidR="00430D4B" w:rsidRDefault="00430D4B" w:rsidP="00430D4B">
      <w:pPr>
        <w:pStyle w:val="ListParagraph"/>
        <w:numPr>
          <w:ilvl w:val="0"/>
          <w:numId w:val="18"/>
        </w:numPr>
        <w:rPr>
          <w:rFonts w:cs="Arial"/>
          <w:bCs/>
          <w:szCs w:val="20"/>
        </w:rPr>
      </w:pPr>
      <w:r w:rsidRPr="00D0553C">
        <w:rPr>
          <w:rFonts w:cs="Arial"/>
          <w:bCs/>
          <w:szCs w:val="20"/>
        </w:rPr>
        <w:t>Documentation that patient evaluation demonstrates other causes</w:t>
      </w:r>
      <w:r>
        <w:rPr>
          <w:rFonts w:cs="Arial"/>
          <w:bCs/>
          <w:szCs w:val="20"/>
        </w:rPr>
        <w:t xml:space="preserve"> of dementia (e.g., Parkinson’s disease, vascular dementia, etc.) have been ruled out;</w:t>
      </w:r>
    </w:p>
    <w:p w14:paraId="4ED82D43" w14:textId="77777777" w:rsidR="00430D4B" w:rsidRDefault="00430D4B" w:rsidP="00430D4B">
      <w:pPr>
        <w:pStyle w:val="ListParagraph"/>
        <w:numPr>
          <w:ilvl w:val="0"/>
          <w:numId w:val="18"/>
        </w:numPr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Documentation that patient evaluation demonstrates </w:t>
      </w:r>
      <w:r w:rsidRPr="00B85B74">
        <w:rPr>
          <w:rFonts w:cs="Arial"/>
          <w:bCs/>
          <w:szCs w:val="20"/>
        </w:rPr>
        <w:t>specific alternative neurodegenerative disease or causative factors (</w:t>
      </w:r>
      <w:r>
        <w:rPr>
          <w:rFonts w:cs="Arial"/>
          <w:bCs/>
          <w:szCs w:val="20"/>
        </w:rPr>
        <w:t xml:space="preserve">e.g., </w:t>
      </w:r>
      <w:r w:rsidRPr="00B85B74">
        <w:rPr>
          <w:rFonts w:cs="Arial"/>
          <w:bCs/>
          <w:szCs w:val="20"/>
        </w:rPr>
        <w:t>cerebrovascular disease, cobalamin [Vitamin B12] deficiency, syphilis, thyroid disease)</w:t>
      </w:r>
      <w:r>
        <w:rPr>
          <w:rFonts w:cs="Arial"/>
          <w:bCs/>
          <w:szCs w:val="20"/>
        </w:rPr>
        <w:t xml:space="preserve"> have been ruled out;</w:t>
      </w:r>
    </w:p>
    <w:p w14:paraId="564D35C3" w14:textId="77777777" w:rsidR="00430D4B" w:rsidRPr="00CF0038" w:rsidRDefault="00430D4B" w:rsidP="00430D4B">
      <w:pPr>
        <w:pStyle w:val="ListParagraph"/>
        <w:numPr>
          <w:ilvl w:val="0"/>
          <w:numId w:val="18"/>
        </w:numPr>
        <w:rPr>
          <w:rFonts w:cs="Arial"/>
          <w:bCs/>
          <w:szCs w:val="20"/>
        </w:rPr>
      </w:pPr>
      <w:r w:rsidRPr="00CF0038">
        <w:rPr>
          <w:rFonts w:cs="Arial"/>
          <w:bCs/>
          <w:color w:val="000000"/>
          <w:szCs w:val="20"/>
        </w:rPr>
        <w:t>Documentation of baseline MRI to rule out other causes of dementia (e.g., stroke, small vessel disease, tumor)</w:t>
      </w:r>
      <w:r w:rsidRPr="00A90DFD">
        <w:rPr>
          <w:rFonts w:cs="Arial"/>
          <w:bCs/>
          <w:szCs w:val="20"/>
        </w:rPr>
        <w:t>;</w:t>
      </w:r>
    </w:p>
    <w:p w14:paraId="6B144C2F" w14:textId="77777777" w:rsidR="00430D4B" w:rsidRPr="00BF5198" w:rsidRDefault="00430D4B" w:rsidP="00430D4B">
      <w:pPr>
        <w:pStyle w:val="ListParagraph"/>
        <w:numPr>
          <w:ilvl w:val="0"/>
          <w:numId w:val="18"/>
        </w:numPr>
        <w:rPr>
          <w:rFonts w:cs="Arial"/>
          <w:bCs/>
          <w:szCs w:val="20"/>
        </w:rPr>
      </w:pPr>
      <w:r w:rsidRPr="00CF0038">
        <w:rPr>
          <w:rFonts w:cs="Arial"/>
          <w:bCs/>
          <w:color w:val="000000"/>
          <w:szCs w:val="20"/>
        </w:rPr>
        <w:t>Documentation of confirmed amyloid pathology from a positive PET scan or detection of amyloid from cerebrospinal fluid (CSF</w:t>
      </w:r>
      <w:r>
        <w:rPr>
          <w:rFonts w:cs="Arial"/>
          <w:bCs/>
          <w:color w:val="000000"/>
          <w:szCs w:val="20"/>
        </w:rPr>
        <w:t xml:space="preserve">); </w:t>
      </w:r>
      <w:r w:rsidRPr="006E69BA">
        <w:rPr>
          <w:rFonts w:cs="Arial"/>
          <w:b/>
          <w:color w:val="000000"/>
          <w:szCs w:val="20"/>
        </w:rPr>
        <w:t>AND</w:t>
      </w:r>
    </w:p>
    <w:p w14:paraId="04BB98D2" w14:textId="77777777" w:rsidR="00430D4B" w:rsidRPr="00CF626D" w:rsidRDefault="00430D4B" w:rsidP="00430D4B">
      <w:pPr>
        <w:pStyle w:val="ListParagraph"/>
        <w:numPr>
          <w:ilvl w:val="0"/>
          <w:numId w:val="18"/>
        </w:numPr>
        <w:rPr>
          <w:rFonts w:cs="Arial"/>
          <w:bCs/>
          <w:szCs w:val="20"/>
        </w:rPr>
      </w:pPr>
      <w:r w:rsidRPr="00CF626D">
        <w:rPr>
          <w:rFonts w:cs="Arial"/>
          <w:bCs/>
          <w:szCs w:val="20"/>
        </w:rPr>
        <w:t>Documentation of apolipoprotein E ε4 (ApoE ε4) status</w:t>
      </w:r>
      <w:r>
        <w:rPr>
          <w:rFonts w:cs="Arial"/>
          <w:bCs/>
          <w:szCs w:val="20"/>
        </w:rPr>
        <w:t>.</w:t>
      </w:r>
    </w:p>
    <w:p w14:paraId="2BE25993" w14:textId="77777777" w:rsidR="00430D4B" w:rsidRPr="00726D2A" w:rsidRDefault="00430D4B" w:rsidP="00430D4B">
      <w:pPr>
        <w:pStyle w:val="ListParagraph"/>
        <w:numPr>
          <w:ilvl w:val="0"/>
          <w:numId w:val="16"/>
        </w:numPr>
        <w:rPr>
          <w:rFonts w:cs="Arial"/>
          <w:bCs/>
          <w:szCs w:val="20"/>
        </w:rPr>
      </w:pPr>
      <w:r w:rsidRPr="00726D2A">
        <w:rPr>
          <w:rFonts w:cs="Arial"/>
          <w:bCs/>
          <w:szCs w:val="20"/>
        </w:rPr>
        <w:t>Additional approval criteria for Kisunla:</w:t>
      </w:r>
    </w:p>
    <w:p w14:paraId="25933977" w14:textId="77777777" w:rsidR="00430D4B" w:rsidRPr="00726D2A" w:rsidRDefault="00430D4B" w:rsidP="00430D4B">
      <w:pPr>
        <w:pStyle w:val="ListParagraph"/>
        <w:numPr>
          <w:ilvl w:val="1"/>
          <w:numId w:val="16"/>
        </w:numPr>
        <w:rPr>
          <w:rFonts w:cs="Arial"/>
          <w:bCs/>
          <w:szCs w:val="20"/>
        </w:rPr>
      </w:pPr>
      <w:r w:rsidRPr="00726D2A">
        <w:rPr>
          <w:rFonts w:cs="Arial"/>
          <w:bCs/>
          <w:szCs w:val="20"/>
        </w:rPr>
        <w:t>Dosing must match the FDA approved label:</w:t>
      </w:r>
    </w:p>
    <w:p w14:paraId="1C1054A3" w14:textId="77777777" w:rsidR="00430D4B" w:rsidRPr="005A035C" w:rsidRDefault="00430D4B" w:rsidP="00430D4B">
      <w:pPr>
        <w:pStyle w:val="ListParagraph"/>
        <w:numPr>
          <w:ilvl w:val="2"/>
          <w:numId w:val="16"/>
        </w:numPr>
        <w:rPr>
          <w:rFonts w:cs="Arial"/>
          <w:b/>
          <w:color w:val="1F497D" w:themeColor="text2"/>
          <w:szCs w:val="20"/>
        </w:rPr>
      </w:pPr>
      <w:r w:rsidRPr="005A035C">
        <w:rPr>
          <w:rFonts w:cs="Arial"/>
          <w:b/>
          <w:color w:val="1F497D" w:themeColor="text2"/>
          <w:szCs w:val="20"/>
        </w:rPr>
        <w:t>Infusion 1: 350 mg</w:t>
      </w:r>
    </w:p>
    <w:p w14:paraId="398BB2DA" w14:textId="77777777" w:rsidR="00430D4B" w:rsidRPr="005A035C" w:rsidRDefault="00430D4B" w:rsidP="00430D4B">
      <w:pPr>
        <w:pStyle w:val="ListParagraph"/>
        <w:numPr>
          <w:ilvl w:val="2"/>
          <w:numId w:val="16"/>
        </w:numPr>
        <w:rPr>
          <w:rFonts w:cs="Arial"/>
          <w:b/>
          <w:color w:val="1F497D" w:themeColor="text2"/>
          <w:szCs w:val="20"/>
        </w:rPr>
      </w:pPr>
      <w:r w:rsidRPr="005A035C">
        <w:rPr>
          <w:rFonts w:cs="Arial"/>
          <w:b/>
          <w:color w:val="1F497D" w:themeColor="text2"/>
          <w:szCs w:val="20"/>
        </w:rPr>
        <w:t>Infusion 2: 700 mg</w:t>
      </w:r>
    </w:p>
    <w:p w14:paraId="3F593388" w14:textId="77777777" w:rsidR="00430D4B" w:rsidRPr="005A035C" w:rsidRDefault="00430D4B" w:rsidP="00430D4B">
      <w:pPr>
        <w:pStyle w:val="ListParagraph"/>
        <w:numPr>
          <w:ilvl w:val="2"/>
          <w:numId w:val="16"/>
        </w:numPr>
        <w:rPr>
          <w:rFonts w:cs="Arial"/>
          <w:b/>
          <w:color w:val="1F497D" w:themeColor="text2"/>
          <w:szCs w:val="20"/>
        </w:rPr>
      </w:pPr>
      <w:r w:rsidRPr="005A035C">
        <w:rPr>
          <w:rFonts w:cs="Arial"/>
          <w:b/>
          <w:color w:val="1F497D" w:themeColor="text2"/>
          <w:szCs w:val="20"/>
        </w:rPr>
        <w:t>Infusion 3: 1,050 mg</w:t>
      </w:r>
    </w:p>
    <w:p w14:paraId="5C1AB62E" w14:textId="45055FAE" w:rsidR="00430D4B" w:rsidRPr="005A035C" w:rsidRDefault="00430D4B" w:rsidP="00430D4B">
      <w:pPr>
        <w:pStyle w:val="ListParagraph"/>
        <w:numPr>
          <w:ilvl w:val="2"/>
          <w:numId w:val="16"/>
        </w:numPr>
        <w:rPr>
          <w:rFonts w:cs="Arial"/>
          <w:b/>
          <w:color w:val="1F497D" w:themeColor="text2"/>
          <w:szCs w:val="20"/>
        </w:rPr>
      </w:pPr>
      <w:r w:rsidRPr="005A035C">
        <w:rPr>
          <w:rFonts w:cs="Arial"/>
          <w:b/>
          <w:color w:val="1F497D" w:themeColor="text2"/>
          <w:szCs w:val="20"/>
        </w:rPr>
        <w:t xml:space="preserve">Infusion 4 and </w:t>
      </w:r>
      <w:r w:rsidR="00810722">
        <w:rPr>
          <w:rFonts w:cs="Arial"/>
          <w:b/>
          <w:color w:val="1F497D" w:themeColor="text2"/>
          <w:szCs w:val="20"/>
        </w:rPr>
        <w:t>b</w:t>
      </w:r>
      <w:r w:rsidRPr="005A035C">
        <w:rPr>
          <w:rFonts w:cs="Arial"/>
          <w:b/>
          <w:color w:val="1F497D" w:themeColor="text2"/>
          <w:szCs w:val="20"/>
        </w:rPr>
        <w:t>eyond</w:t>
      </w:r>
      <w:r w:rsidR="00020B9A">
        <w:rPr>
          <w:rFonts w:cs="Arial"/>
          <w:b/>
          <w:color w:val="1F497D" w:themeColor="text2"/>
          <w:szCs w:val="20"/>
        </w:rPr>
        <w:t xml:space="preserve"> </w:t>
      </w:r>
      <w:r w:rsidR="007335B6">
        <w:rPr>
          <w:rFonts w:cs="Arial"/>
          <w:b/>
          <w:color w:val="1F497D" w:themeColor="text2"/>
          <w:szCs w:val="20"/>
        </w:rPr>
        <w:t>once every 4 weeks</w:t>
      </w:r>
      <w:r w:rsidRPr="005A035C">
        <w:rPr>
          <w:rFonts w:cs="Arial"/>
          <w:b/>
          <w:color w:val="1F497D" w:themeColor="text2"/>
          <w:szCs w:val="20"/>
        </w:rPr>
        <w:t>: 1,400 mg</w:t>
      </w:r>
    </w:p>
    <w:p w14:paraId="07CBF162" w14:textId="77C09152" w:rsidR="00430D4B" w:rsidRPr="00451EE6" w:rsidRDefault="00430D4B" w:rsidP="00430D4B">
      <w:pPr>
        <w:pStyle w:val="ListParagraph"/>
        <w:numPr>
          <w:ilvl w:val="0"/>
          <w:numId w:val="16"/>
        </w:numPr>
        <w:rPr>
          <w:rFonts w:cs="Arial"/>
          <w:bCs/>
          <w:szCs w:val="20"/>
        </w:rPr>
      </w:pPr>
      <w:r w:rsidRPr="00451EE6">
        <w:rPr>
          <w:rFonts w:cs="Arial"/>
          <w:bCs/>
          <w:szCs w:val="20"/>
        </w:rPr>
        <w:t>Additional approval criteria for Leqembi</w:t>
      </w:r>
      <w:r w:rsidR="006A13A6">
        <w:rPr>
          <w:rFonts w:cs="Arial"/>
          <w:bCs/>
          <w:szCs w:val="20"/>
        </w:rPr>
        <w:t xml:space="preserve"> </w:t>
      </w:r>
      <w:r w:rsidR="006C6051" w:rsidRPr="006C6051">
        <w:rPr>
          <w:rFonts w:cs="Arial"/>
          <w:b/>
          <w:color w:val="1F497D" w:themeColor="text2"/>
          <w:szCs w:val="20"/>
        </w:rPr>
        <w:t>and Leqembi Iqlik</w:t>
      </w:r>
      <w:r w:rsidRPr="00451EE6">
        <w:rPr>
          <w:rFonts w:cs="Arial"/>
          <w:bCs/>
          <w:szCs w:val="20"/>
        </w:rPr>
        <w:t>:</w:t>
      </w:r>
    </w:p>
    <w:p w14:paraId="35F7FAF1" w14:textId="77777777" w:rsidR="00430D4B" w:rsidRPr="00CF626D" w:rsidRDefault="00430D4B" w:rsidP="00430D4B">
      <w:pPr>
        <w:pStyle w:val="ListParagraph"/>
        <w:numPr>
          <w:ilvl w:val="1"/>
          <w:numId w:val="16"/>
        </w:numPr>
        <w:rPr>
          <w:rFonts w:cs="Arial"/>
          <w:bCs/>
          <w:szCs w:val="20"/>
        </w:rPr>
      </w:pPr>
      <w:r w:rsidRPr="00CF626D">
        <w:rPr>
          <w:rFonts w:cs="Arial"/>
          <w:bCs/>
          <w:szCs w:val="20"/>
        </w:rPr>
        <w:t>Dosing must match the FDA approved label:</w:t>
      </w:r>
    </w:p>
    <w:p w14:paraId="2FA9E2F4" w14:textId="02553F69" w:rsidR="006C6051" w:rsidRPr="006C6051" w:rsidRDefault="006C6051" w:rsidP="00430D4B">
      <w:pPr>
        <w:pStyle w:val="ListParagraph"/>
        <w:numPr>
          <w:ilvl w:val="2"/>
          <w:numId w:val="16"/>
        </w:numPr>
        <w:rPr>
          <w:rFonts w:cs="Arial"/>
          <w:b/>
          <w:color w:val="1F497D" w:themeColor="text2"/>
          <w:szCs w:val="20"/>
        </w:rPr>
      </w:pPr>
      <w:r w:rsidRPr="006C6051">
        <w:rPr>
          <w:rFonts w:cs="Arial"/>
          <w:b/>
          <w:color w:val="1F497D" w:themeColor="text2"/>
          <w:szCs w:val="20"/>
        </w:rPr>
        <w:t>Leqembi:</w:t>
      </w:r>
    </w:p>
    <w:p w14:paraId="0562CE30" w14:textId="604E1C8B" w:rsidR="00430D4B" w:rsidRPr="00965368" w:rsidRDefault="00430D4B" w:rsidP="006C6051">
      <w:pPr>
        <w:pStyle w:val="ListParagraph"/>
        <w:numPr>
          <w:ilvl w:val="3"/>
          <w:numId w:val="16"/>
        </w:numPr>
        <w:ind w:left="1440"/>
        <w:rPr>
          <w:rFonts w:cs="Arial"/>
          <w:bCs/>
          <w:szCs w:val="20"/>
        </w:rPr>
      </w:pPr>
      <w:r w:rsidRPr="00965368">
        <w:rPr>
          <w:rFonts w:cs="Arial"/>
          <w:bCs/>
          <w:szCs w:val="20"/>
        </w:rPr>
        <w:t>10mg/kg once every 2 weeks for 18 months;</w:t>
      </w:r>
    </w:p>
    <w:p w14:paraId="3A8CCAB9" w14:textId="77777777" w:rsidR="00430D4B" w:rsidRPr="006C6051" w:rsidRDefault="00430D4B" w:rsidP="006C6051">
      <w:pPr>
        <w:pStyle w:val="ListParagraph"/>
        <w:numPr>
          <w:ilvl w:val="3"/>
          <w:numId w:val="16"/>
        </w:numPr>
        <w:ind w:left="1440"/>
        <w:rPr>
          <w:rFonts w:cs="Arial"/>
          <w:b/>
          <w:szCs w:val="20"/>
        </w:rPr>
      </w:pPr>
      <w:r w:rsidRPr="005A035C">
        <w:rPr>
          <w:rFonts w:cs="Arial"/>
          <w:b/>
          <w:color w:val="1F497D" w:themeColor="text2"/>
          <w:szCs w:val="20"/>
        </w:rPr>
        <w:t>After 18 months, dosing can be adjusted to 10mg/kg every 4 weeks or kept at every 2 weeks based on the prescriber’s discretion.</w:t>
      </w:r>
    </w:p>
    <w:p w14:paraId="182B8A89" w14:textId="03F48777" w:rsidR="006C6051" w:rsidRPr="00DA3EE1" w:rsidRDefault="006C6051" w:rsidP="006C6051">
      <w:pPr>
        <w:pStyle w:val="ListParagraph"/>
        <w:numPr>
          <w:ilvl w:val="2"/>
          <w:numId w:val="16"/>
        </w:numPr>
        <w:rPr>
          <w:rFonts w:cs="Arial"/>
          <w:b/>
          <w:szCs w:val="20"/>
        </w:rPr>
      </w:pPr>
      <w:r w:rsidRPr="006C6051">
        <w:rPr>
          <w:rFonts w:cs="Arial"/>
          <w:b/>
          <w:color w:val="1F497D" w:themeColor="text2"/>
          <w:szCs w:val="20"/>
        </w:rPr>
        <w:t>Leqembi Iqlik</w:t>
      </w:r>
      <w:r w:rsidR="00DA3EE1">
        <w:rPr>
          <w:rFonts w:cs="Arial"/>
          <w:b/>
          <w:color w:val="1F497D" w:themeColor="text2"/>
          <w:szCs w:val="20"/>
        </w:rPr>
        <w:t>:</w:t>
      </w:r>
    </w:p>
    <w:p w14:paraId="591298AF" w14:textId="6962666A" w:rsidR="00DA3EE1" w:rsidRPr="006F5F95" w:rsidRDefault="006F5F95" w:rsidP="00DA3EE1">
      <w:pPr>
        <w:pStyle w:val="ListParagraph"/>
        <w:numPr>
          <w:ilvl w:val="3"/>
          <w:numId w:val="16"/>
        </w:numPr>
        <w:ind w:left="1440"/>
        <w:rPr>
          <w:rFonts w:cs="Arial"/>
          <w:b/>
          <w:color w:val="1F497D" w:themeColor="text2"/>
          <w:szCs w:val="20"/>
        </w:rPr>
      </w:pPr>
      <w:r w:rsidRPr="006F5F95">
        <w:rPr>
          <w:rFonts w:cs="Arial"/>
          <w:b/>
          <w:color w:val="1F497D" w:themeColor="text2"/>
          <w:szCs w:val="20"/>
        </w:rPr>
        <w:t>360 mg subcutaneously once every week;</w:t>
      </w:r>
    </w:p>
    <w:p w14:paraId="3824B16F" w14:textId="11BD3245" w:rsidR="006F5F95" w:rsidRPr="006F5F95" w:rsidRDefault="006F5F95" w:rsidP="006F5F95">
      <w:pPr>
        <w:pStyle w:val="ListParagraph"/>
        <w:numPr>
          <w:ilvl w:val="3"/>
          <w:numId w:val="16"/>
        </w:numPr>
        <w:ind w:left="1440"/>
        <w:rPr>
          <w:rFonts w:cs="Arial"/>
          <w:b/>
          <w:color w:val="1F497D" w:themeColor="text2"/>
          <w:szCs w:val="20"/>
        </w:rPr>
      </w:pPr>
      <w:r w:rsidRPr="006F5F95">
        <w:rPr>
          <w:rFonts w:cs="Arial"/>
          <w:b/>
          <w:color w:val="1F497D" w:themeColor="text2"/>
          <w:szCs w:val="20"/>
        </w:rPr>
        <w:t>Participant has completed at least 18 months of Leqembi intravenous infusion initiation dosing or is transitioning from a Leqembi intravenous infusion maintenance regimen</w:t>
      </w:r>
      <w:r w:rsidR="002B6006">
        <w:rPr>
          <w:rFonts w:cs="Arial"/>
          <w:b/>
          <w:color w:val="1F497D" w:themeColor="text2"/>
          <w:szCs w:val="20"/>
        </w:rPr>
        <w:t>.</w:t>
      </w:r>
    </w:p>
    <w:p w14:paraId="4649F964" w14:textId="77777777" w:rsidR="00430D4B" w:rsidRDefault="00430D4B" w:rsidP="00430D4B">
      <w:pPr>
        <w:pStyle w:val="ListParagraph"/>
        <w:numPr>
          <w:ilvl w:val="0"/>
          <w:numId w:val="16"/>
        </w:numPr>
        <w:rPr>
          <w:rFonts w:cs="Arial"/>
          <w:bCs/>
          <w:szCs w:val="20"/>
        </w:rPr>
      </w:pPr>
      <w:bookmarkStart w:id="1" w:name="_Hlk150938236"/>
      <w:r w:rsidRPr="00DD13E9">
        <w:rPr>
          <w:rFonts w:cs="Arial"/>
          <w:bCs/>
          <w:szCs w:val="20"/>
        </w:rPr>
        <w:t xml:space="preserve">Initial </w:t>
      </w:r>
      <w:r>
        <w:rPr>
          <w:rFonts w:cs="Arial"/>
          <w:bCs/>
          <w:szCs w:val="20"/>
        </w:rPr>
        <w:t>a</w:t>
      </w:r>
      <w:r w:rsidRPr="00DD13E9">
        <w:rPr>
          <w:rFonts w:cs="Arial"/>
          <w:bCs/>
          <w:szCs w:val="20"/>
        </w:rPr>
        <w:t xml:space="preserve">pproval </w:t>
      </w:r>
      <w:r>
        <w:rPr>
          <w:rFonts w:cs="Arial"/>
          <w:bCs/>
          <w:szCs w:val="20"/>
        </w:rPr>
        <w:t>p</w:t>
      </w:r>
      <w:r w:rsidRPr="00DD13E9">
        <w:rPr>
          <w:rFonts w:cs="Arial"/>
          <w:bCs/>
          <w:szCs w:val="20"/>
        </w:rPr>
        <w:t>eriod: 6 months</w:t>
      </w:r>
    </w:p>
    <w:bookmarkEnd w:id="1"/>
    <w:p w14:paraId="1B509DCA" w14:textId="77777777" w:rsidR="00635DDB" w:rsidRPr="002C2C41" w:rsidRDefault="00635DDB" w:rsidP="00635DDB">
      <w:pPr>
        <w:rPr>
          <w:rFonts w:cs="Arial"/>
          <w:szCs w:val="20"/>
        </w:rPr>
      </w:pPr>
    </w:p>
    <w:p w14:paraId="7EC2017B" w14:textId="77777777" w:rsidR="00635DDB" w:rsidRPr="00696E3A" w:rsidRDefault="00635DDB" w:rsidP="00635DDB">
      <w:pPr>
        <w:rPr>
          <w:b/>
          <w:bCs/>
        </w:rPr>
      </w:pPr>
      <w:r w:rsidRPr="00696E3A">
        <w:rPr>
          <w:b/>
          <w:bCs/>
        </w:rPr>
        <w:t>Continuation of Therapy:</w:t>
      </w:r>
    </w:p>
    <w:p w14:paraId="7EBBE279" w14:textId="77777777" w:rsidR="002B3264" w:rsidRPr="00C22053" w:rsidRDefault="002B3264" w:rsidP="002B3264">
      <w:pPr>
        <w:pStyle w:val="ListParagraph"/>
        <w:numPr>
          <w:ilvl w:val="0"/>
          <w:numId w:val="20"/>
        </w:numPr>
        <w:rPr>
          <w:rFonts w:cs="Arial"/>
          <w:bCs/>
          <w:szCs w:val="20"/>
        </w:rPr>
      </w:pPr>
      <w:r w:rsidRPr="00C22053">
        <w:rPr>
          <w:rFonts w:cs="Arial"/>
          <w:bCs/>
          <w:szCs w:val="20"/>
        </w:rPr>
        <w:t xml:space="preserve">Must </w:t>
      </w:r>
      <w:r>
        <w:rPr>
          <w:rFonts w:cs="Arial"/>
          <w:bCs/>
          <w:szCs w:val="20"/>
        </w:rPr>
        <w:t>m</w:t>
      </w:r>
      <w:r w:rsidRPr="00C22053">
        <w:rPr>
          <w:rFonts w:cs="Arial"/>
          <w:bCs/>
          <w:szCs w:val="20"/>
        </w:rPr>
        <w:t>eet all of the following:</w:t>
      </w:r>
    </w:p>
    <w:p w14:paraId="08EC2D41" w14:textId="77777777" w:rsidR="002B3264" w:rsidRDefault="002B3264" w:rsidP="002B3264">
      <w:pPr>
        <w:pStyle w:val="ListParagraph"/>
        <w:numPr>
          <w:ilvl w:val="0"/>
          <w:numId w:val="19"/>
        </w:numPr>
        <w:rPr>
          <w:rFonts w:cs="Arial"/>
          <w:bCs/>
          <w:color w:val="000000"/>
          <w:szCs w:val="20"/>
        </w:rPr>
      </w:pPr>
      <w:r w:rsidRPr="007479DF">
        <w:rPr>
          <w:rFonts w:cs="Arial"/>
          <w:bCs/>
          <w:color w:val="000000"/>
          <w:szCs w:val="20"/>
        </w:rPr>
        <w:t>Documentation of current disease severity as demonstrated by current (at least every 6 months) MMSE</w:t>
      </w:r>
      <w:r>
        <w:rPr>
          <w:rFonts w:cs="Arial"/>
          <w:bCs/>
          <w:color w:val="000000"/>
          <w:szCs w:val="20"/>
        </w:rPr>
        <w:t xml:space="preserve"> score:</w:t>
      </w:r>
    </w:p>
    <w:p w14:paraId="6790BC4D" w14:textId="77777777" w:rsidR="002B3264" w:rsidRDefault="002B3264" w:rsidP="002B3264">
      <w:pPr>
        <w:pStyle w:val="ListParagraph"/>
        <w:numPr>
          <w:ilvl w:val="2"/>
          <w:numId w:val="19"/>
        </w:numPr>
        <w:ind w:left="1080"/>
        <w:rPr>
          <w:rFonts w:cs="Arial"/>
          <w:bCs/>
          <w:color w:val="000000"/>
          <w:szCs w:val="20"/>
        </w:rPr>
      </w:pPr>
      <w:r>
        <w:rPr>
          <w:rFonts w:cs="Arial"/>
          <w:bCs/>
          <w:color w:val="000000"/>
          <w:szCs w:val="20"/>
        </w:rPr>
        <w:t>Therapy</w:t>
      </w:r>
      <w:r w:rsidRPr="007479DF">
        <w:rPr>
          <w:rFonts w:cs="Arial"/>
          <w:bCs/>
          <w:color w:val="000000"/>
          <w:szCs w:val="20"/>
        </w:rPr>
        <w:t xml:space="preserve"> is to be discontinued when Alzheimer’s </w:t>
      </w:r>
      <w:r>
        <w:rPr>
          <w:rFonts w:cs="Arial"/>
          <w:bCs/>
          <w:color w:val="000000"/>
          <w:szCs w:val="20"/>
        </w:rPr>
        <w:t>d</w:t>
      </w:r>
      <w:r w:rsidRPr="007479DF">
        <w:rPr>
          <w:rFonts w:cs="Arial"/>
          <w:bCs/>
          <w:color w:val="000000"/>
          <w:szCs w:val="20"/>
        </w:rPr>
        <w:t>isease progresses rapidly into moderate to severe A</w:t>
      </w:r>
      <w:r>
        <w:rPr>
          <w:rFonts w:cs="Arial"/>
          <w:bCs/>
          <w:color w:val="000000"/>
          <w:szCs w:val="20"/>
        </w:rPr>
        <w:t xml:space="preserve">lzheimer’s disease; </w:t>
      </w:r>
      <w:r w:rsidRPr="009D1822">
        <w:rPr>
          <w:rFonts w:cs="Arial"/>
          <w:b/>
          <w:bCs/>
          <w:color w:val="000000"/>
          <w:szCs w:val="20"/>
        </w:rPr>
        <w:t>AND</w:t>
      </w:r>
    </w:p>
    <w:p w14:paraId="3694BDD3" w14:textId="77777777" w:rsidR="002B3264" w:rsidRDefault="002B3264" w:rsidP="002B3264">
      <w:pPr>
        <w:pStyle w:val="ListParagraph"/>
        <w:numPr>
          <w:ilvl w:val="1"/>
          <w:numId w:val="19"/>
        </w:numPr>
        <w:ind w:left="1080"/>
        <w:rPr>
          <w:rFonts w:cs="Arial"/>
          <w:bCs/>
          <w:color w:val="000000"/>
          <w:szCs w:val="20"/>
        </w:rPr>
      </w:pPr>
      <w:r>
        <w:rPr>
          <w:rFonts w:cs="Arial"/>
          <w:bCs/>
          <w:color w:val="000000"/>
          <w:szCs w:val="20"/>
        </w:rPr>
        <w:t>R</w:t>
      </w:r>
      <w:r w:rsidRPr="007479DF">
        <w:rPr>
          <w:rFonts w:cs="Arial"/>
          <w:bCs/>
          <w:color w:val="000000"/>
          <w:szCs w:val="20"/>
        </w:rPr>
        <w:t xml:space="preserve">apid decline </w:t>
      </w:r>
      <w:r>
        <w:rPr>
          <w:rFonts w:cs="Arial"/>
          <w:bCs/>
          <w:color w:val="000000"/>
          <w:szCs w:val="20"/>
        </w:rPr>
        <w:t xml:space="preserve">is </w:t>
      </w:r>
      <w:r w:rsidRPr="007479DF">
        <w:rPr>
          <w:rFonts w:cs="Arial"/>
          <w:bCs/>
          <w:color w:val="000000"/>
          <w:szCs w:val="20"/>
        </w:rPr>
        <w:t>defined as a 4-point reduction in a 6</w:t>
      </w:r>
      <w:r>
        <w:rPr>
          <w:rFonts w:cs="Arial"/>
          <w:bCs/>
          <w:color w:val="000000"/>
          <w:szCs w:val="20"/>
        </w:rPr>
        <w:t>-month</w:t>
      </w:r>
      <w:r w:rsidRPr="007479DF">
        <w:rPr>
          <w:rFonts w:cs="Arial"/>
          <w:bCs/>
          <w:color w:val="000000"/>
          <w:szCs w:val="20"/>
        </w:rPr>
        <w:t xml:space="preserve"> period on the MMSE, with an additional </w:t>
      </w:r>
      <w:r>
        <w:rPr>
          <w:rFonts w:cs="Arial"/>
          <w:bCs/>
          <w:color w:val="000000"/>
          <w:szCs w:val="20"/>
        </w:rPr>
        <w:t>1-</w:t>
      </w:r>
      <w:r w:rsidRPr="007479DF">
        <w:rPr>
          <w:rFonts w:cs="Arial"/>
          <w:bCs/>
          <w:color w:val="000000"/>
          <w:szCs w:val="20"/>
        </w:rPr>
        <w:t>point reduction in the following 6 months</w:t>
      </w:r>
    </w:p>
    <w:p w14:paraId="0343180E" w14:textId="77777777" w:rsidR="002B3264" w:rsidRPr="00CF626D" w:rsidRDefault="002B3264" w:rsidP="002B3264">
      <w:pPr>
        <w:pStyle w:val="ListParagraph"/>
        <w:numPr>
          <w:ilvl w:val="0"/>
          <w:numId w:val="22"/>
        </w:numPr>
        <w:rPr>
          <w:rFonts w:cs="Arial"/>
          <w:bCs/>
          <w:szCs w:val="20"/>
        </w:rPr>
      </w:pPr>
      <w:r w:rsidRPr="00CF626D">
        <w:rPr>
          <w:rFonts w:cs="Arial"/>
          <w:bCs/>
          <w:szCs w:val="20"/>
        </w:rPr>
        <w:t>Additional continuation criteria for Leqembi:</w:t>
      </w:r>
    </w:p>
    <w:p w14:paraId="3FFE80BE" w14:textId="77777777" w:rsidR="002B3264" w:rsidRPr="00611421" w:rsidRDefault="002B3264" w:rsidP="002B3264">
      <w:pPr>
        <w:pStyle w:val="ListParagraph"/>
        <w:numPr>
          <w:ilvl w:val="1"/>
          <w:numId w:val="22"/>
        </w:numPr>
        <w:ind w:left="720"/>
        <w:rPr>
          <w:rFonts w:cs="Arial"/>
          <w:bCs/>
          <w:szCs w:val="20"/>
        </w:rPr>
      </w:pPr>
      <w:r w:rsidRPr="00CF626D">
        <w:rPr>
          <w:rFonts w:cs="Arial"/>
          <w:bCs/>
          <w:szCs w:val="20"/>
        </w:rPr>
        <w:t>Documentation of follow-up MRIs to evaluate for ARIA-E, ARIA-H, and other structural changes prior to the</w:t>
      </w:r>
      <w:r>
        <w:rPr>
          <w:rFonts w:cs="Arial"/>
          <w:bCs/>
          <w:szCs w:val="20"/>
        </w:rPr>
        <w:t xml:space="preserve"> </w:t>
      </w:r>
      <w:r w:rsidRPr="005A035C">
        <w:rPr>
          <w:rFonts w:cs="Arial"/>
          <w:b/>
          <w:color w:val="1F497D" w:themeColor="text2"/>
          <w:szCs w:val="20"/>
        </w:rPr>
        <w:t>3</w:t>
      </w:r>
      <w:r w:rsidRPr="005A035C">
        <w:rPr>
          <w:rFonts w:cs="Arial"/>
          <w:b/>
          <w:color w:val="1F497D" w:themeColor="text2"/>
          <w:szCs w:val="20"/>
          <w:vertAlign w:val="superscript"/>
        </w:rPr>
        <w:t>rd</w:t>
      </w:r>
      <w:r w:rsidRPr="005A035C">
        <w:rPr>
          <w:rFonts w:cs="Arial"/>
          <w:b/>
          <w:color w:val="1F497D" w:themeColor="text2"/>
          <w:szCs w:val="20"/>
        </w:rPr>
        <w:t>,</w:t>
      </w:r>
      <w:r w:rsidRPr="005A035C">
        <w:rPr>
          <w:rFonts w:cs="Arial"/>
          <w:bCs/>
          <w:color w:val="1F497D" w:themeColor="text2"/>
          <w:szCs w:val="20"/>
        </w:rPr>
        <w:t xml:space="preserve"> </w:t>
      </w:r>
      <w:r w:rsidRPr="00CF626D">
        <w:rPr>
          <w:rFonts w:cs="Arial"/>
          <w:bCs/>
          <w:szCs w:val="20"/>
        </w:rPr>
        <w:t>5</w:t>
      </w:r>
      <w:r w:rsidRPr="00CF626D">
        <w:rPr>
          <w:rFonts w:cs="Arial"/>
          <w:bCs/>
          <w:szCs w:val="20"/>
          <w:vertAlign w:val="superscript"/>
        </w:rPr>
        <w:t>th</w:t>
      </w:r>
      <w:r w:rsidRPr="00CF626D">
        <w:rPr>
          <w:rFonts w:cs="Arial"/>
          <w:bCs/>
          <w:szCs w:val="20"/>
        </w:rPr>
        <w:t>, 7</w:t>
      </w:r>
      <w:r w:rsidRPr="00CF626D">
        <w:rPr>
          <w:rFonts w:cs="Arial"/>
          <w:bCs/>
          <w:szCs w:val="20"/>
          <w:vertAlign w:val="superscript"/>
        </w:rPr>
        <w:t>th</w:t>
      </w:r>
      <w:r w:rsidRPr="00CF626D">
        <w:rPr>
          <w:rFonts w:cs="Arial"/>
          <w:bCs/>
          <w:szCs w:val="20"/>
        </w:rPr>
        <w:t>, and 14</w:t>
      </w:r>
      <w:r w:rsidRPr="00CF626D">
        <w:rPr>
          <w:rFonts w:cs="Arial"/>
          <w:bCs/>
          <w:szCs w:val="20"/>
          <w:vertAlign w:val="superscript"/>
        </w:rPr>
        <w:t>th</w:t>
      </w:r>
      <w:r w:rsidRPr="00CF626D">
        <w:rPr>
          <w:rFonts w:cs="Arial"/>
          <w:bCs/>
          <w:szCs w:val="20"/>
        </w:rPr>
        <w:t xml:space="preserve"> </w:t>
      </w:r>
      <w:r w:rsidRPr="005A035C">
        <w:rPr>
          <w:rFonts w:cs="Arial"/>
          <w:b/>
          <w:color w:val="1F497D" w:themeColor="text2"/>
          <w:szCs w:val="20"/>
        </w:rPr>
        <w:t>intravenous</w:t>
      </w:r>
      <w:r>
        <w:rPr>
          <w:rFonts w:cs="Arial"/>
          <w:b/>
          <w:szCs w:val="20"/>
        </w:rPr>
        <w:t xml:space="preserve"> </w:t>
      </w:r>
      <w:r w:rsidRPr="00CF626D">
        <w:rPr>
          <w:rFonts w:cs="Arial"/>
          <w:bCs/>
          <w:szCs w:val="20"/>
        </w:rPr>
        <w:t>infusions, then at least once annually</w:t>
      </w:r>
      <w:r>
        <w:rPr>
          <w:rFonts w:cs="Arial"/>
          <w:bCs/>
          <w:szCs w:val="20"/>
        </w:rPr>
        <w:t xml:space="preserve"> </w:t>
      </w:r>
      <w:r w:rsidRPr="005A035C">
        <w:rPr>
          <w:rFonts w:cs="Arial"/>
          <w:b/>
          <w:color w:val="1F497D" w:themeColor="text2"/>
          <w:szCs w:val="20"/>
        </w:rPr>
        <w:t>for any maintenance regimen.</w:t>
      </w:r>
    </w:p>
    <w:p w14:paraId="4BA4D05E" w14:textId="77777777" w:rsidR="002B3264" w:rsidRPr="00965368" w:rsidRDefault="002B3264" w:rsidP="002B3264">
      <w:pPr>
        <w:pStyle w:val="ListParagraph"/>
        <w:numPr>
          <w:ilvl w:val="0"/>
          <w:numId w:val="22"/>
        </w:numPr>
        <w:rPr>
          <w:rFonts w:cs="Arial"/>
          <w:bCs/>
          <w:szCs w:val="20"/>
        </w:rPr>
      </w:pPr>
      <w:r w:rsidRPr="00965368">
        <w:rPr>
          <w:rFonts w:cs="Arial"/>
          <w:bCs/>
          <w:szCs w:val="20"/>
        </w:rPr>
        <w:t>Additional continuation criteria for Kisunla:</w:t>
      </w:r>
    </w:p>
    <w:p w14:paraId="0CDA8CE1" w14:textId="77777777" w:rsidR="002B3264" w:rsidRPr="00965368" w:rsidRDefault="002B3264" w:rsidP="002B3264">
      <w:pPr>
        <w:pStyle w:val="ListParagraph"/>
        <w:numPr>
          <w:ilvl w:val="1"/>
          <w:numId w:val="22"/>
        </w:numPr>
        <w:ind w:left="720"/>
        <w:rPr>
          <w:rFonts w:cs="Arial"/>
          <w:bCs/>
          <w:szCs w:val="20"/>
        </w:rPr>
      </w:pPr>
      <w:r w:rsidRPr="00965368">
        <w:rPr>
          <w:rFonts w:cs="Arial"/>
          <w:bCs/>
          <w:szCs w:val="20"/>
        </w:rPr>
        <w:t>Documentation of follow-up MRIs to evaluate for ARIA-E, ARIA-H, amyloid plaque levels, and other structural changes prior to the 2nd, 3rd, 4th, and 7th infusions, then at least once annually</w:t>
      </w:r>
    </w:p>
    <w:p w14:paraId="375B4857" w14:textId="77777777" w:rsidR="002B3264" w:rsidRDefault="002B3264" w:rsidP="002B3264">
      <w:pPr>
        <w:pStyle w:val="ListParagraph"/>
        <w:widowControl w:val="0"/>
        <w:numPr>
          <w:ilvl w:val="0"/>
          <w:numId w:val="21"/>
        </w:numPr>
        <w:rPr>
          <w:rFonts w:cs="Arial"/>
          <w:bCs/>
          <w:szCs w:val="20"/>
        </w:rPr>
      </w:pPr>
      <w:r w:rsidRPr="001B27D4">
        <w:rPr>
          <w:rFonts w:cs="Arial"/>
          <w:bCs/>
          <w:szCs w:val="20"/>
        </w:rPr>
        <w:lastRenderedPageBreak/>
        <w:t xml:space="preserve">Continuation approval period: </w:t>
      </w:r>
    </w:p>
    <w:p w14:paraId="43F2F8B6" w14:textId="77777777" w:rsidR="002B3264" w:rsidRDefault="002B3264" w:rsidP="002B3264">
      <w:pPr>
        <w:pStyle w:val="ListParagraph"/>
        <w:widowControl w:val="0"/>
        <w:numPr>
          <w:ilvl w:val="1"/>
          <w:numId w:val="21"/>
        </w:numPr>
        <w:ind w:left="72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S</w:t>
      </w:r>
      <w:r w:rsidRPr="00A8526D">
        <w:rPr>
          <w:rFonts w:cs="Arial"/>
          <w:bCs/>
          <w:szCs w:val="20"/>
        </w:rPr>
        <w:t xml:space="preserve">ubsequent approval </w:t>
      </w:r>
      <w:r>
        <w:rPr>
          <w:rFonts w:cs="Arial"/>
          <w:bCs/>
          <w:szCs w:val="20"/>
        </w:rPr>
        <w:t xml:space="preserve">after first initial approval </w:t>
      </w:r>
      <w:r w:rsidRPr="00A8526D">
        <w:rPr>
          <w:rFonts w:cs="Arial"/>
          <w:bCs/>
          <w:szCs w:val="20"/>
        </w:rPr>
        <w:t>will be for 6 months</w:t>
      </w:r>
    </w:p>
    <w:p w14:paraId="5B3C466B" w14:textId="77777777" w:rsidR="002B3264" w:rsidRPr="001B27D4" w:rsidRDefault="002B3264" w:rsidP="002B3264">
      <w:pPr>
        <w:pStyle w:val="ListParagraph"/>
        <w:widowControl w:val="0"/>
        <w:numPr>
          <w:ilvl w:val="1"/>
          <w:numId w:val="21"/>
        </w:numPr>
        <w:ind w:left="72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F</w:t>
      </w:r>
      <w:r w:rsidRPr="00A8526D">
        <w:rPr>
          <w:rFonts w:cs="Arial"/>
          <w:bCs/>
          <w:szCs w:val="20"/>
        </w:rPr>
        <w:t>urther renewal of prior authorization may be given for up to 12 month</w:t>
      </w:r>
      <w:r>
        <w:rPr>
          <w:rFonts w:cs="Arial"/>
          <w:bCs/>
          <w:szCs w:val="20"/>
        </w:rPr>
        <w:t>s</w:t>
      </w:r>
    </w:p>
    <w:p w14:paraId="7DE6F1B8" w14:textId="77777777" w:rsidR="00FF3D39" w:rsidRPr="002C2C41" w:rsidRDefault="00FF3D39" w:rsidP="0064149A">
      <w:pPr>
        <w:rPr>
          <w:rFonts w:cs="Arial"/>
          <w:szCs w:val="20"/>
        </w:rPr>
      </w:pPr>
    </w:p>
    <w:p w14:paraId="6413C03A" w14:textId="77777777" w:rsidR="00AE77DB" w:rsidRPr="00C02553" w:rsidRDefault="00AE77DB" w:rsidP="005A2F1E">
      <w:pPr>
        <w:pStyle w:val="Heading1"/>
        <w:rPr>
          <w:lang w:val="en-US"/>
        </w:rPr>
      </w:pPr>
      <w:r w:rsidRPr="00C02553">
        <w:rPr>
          <w:lang w:val="en-US"/>
        </w:rPr>
        <w:t>Denial Criteria</w:t>
      </w:r>
    </w:p>
    <w:p w14:paraId="1B87A41E" w14:textId="77777777" w:rsidR="00885117" w:rsidRPr="00434F10" w:rsidRDefault="00885117" w:rsidP="00885117">
      <w:pPr>
        <w:pStyle w:val="ListParagraph"/>
        <w:numPr>
          <w:ilvl w:val="0"/>
          <w:numId w:val="21"/>
        </w:numPr>
        <w:rPr>
          <w:rFonts w:cs="Arial"/>
          <w:noProof/>
          <w:szCs w:val="20"/>
        </w:rPr>
      </w:pPr>
      <w:r>
        <w:rPr>
          <w:rFonts w:cs="Arial"/>
          <w:noProof/>
          <w:szCs w:val="20"/>
        </w:rPr>
        <w:t>Therapy will deny with presence of one of the following:</w:t>
      </w:r>
    </w:p>
    <w:p w14:paraId="3DAFD2AA" w14:textId="77777777" w:rsidR="00885117" w:rsidRDefault="00885117" w:rsidP="00885117">
      <w:pPr>
        <w:pStyle w:val="ListParagraph"/>
        <w:numPr>
          <w:ilvl w:val="0"/>
          <w:numId w:val="23"/>
        </w:numPr>
        <w:rPr>
          <w:rFonts w:cs="Arial"/>
          <w:noProof/>
          <w:szCs w:val="20"/>
        </w:rPr>
      </w:pPr>
      <w:bookmarkStart w:id="2" w:name="_Hlk47597237"/>
      <w:r>
        <w:rPr>
          <w:rFonts w:cs="Arial"/>
          <w:noProof/>
          <w:szCs w:val="20"/>
        </w:rPr>
        <w:t>Any approval criteria are not met;</w:t>
      </w:r>
    </w:p>
    <w:p w14:paraId="1D318D57" w14:textId="77777777" w:rsidR="00885117" w:rsidRPr="00D0553C" w:rsidRDefault="00885117" w:rsidP="00885117">
      <w:pPr>
        <w:pStyle w:val="ListParagraph"/>
        <w:numPr>
          <w:ilvl w:val="0"/>
          <w:numId w:val="23"/>
        </w:numPr>
        <w:rPr>
          <w:rFonts w:cs="Arial"/>
          <w:noProof/>
          <w:szCs w:val="20"/>
        </w:rPr>
      </w:pPr>
      <w:r w:rsidRPr="00D0553C">
        <w:rPr>
          <w:rFonts w:cs="Arial"/>
          <w:noProof/>
          <w:szCs w:val="20"/>
        </w:rPr>
        <w:t>Diagnosis of moderate to severe Alzheimer’s Disease</w:t>
      </w:r>
      <w:r>
        <w:rPr>
          <w:rFonts w:cs="Arial"/>
          <w:noProof/>
          <w:szCs w:val="20"/>
        </w:rPr>
        <w:t>;</w:t>
      </w:r>
    </w:p>
    <w:p w14:paraId="11080452" w14:textId="77777777" w:rsidR="00885117" w:rsidRPr="00D0553C" w:rsidRDefault="00885117" w:rsidP="00885117">
      <w:pPr>
        <w:pStyle w:val="ListParagraph"/>
        <w:numPr>
          <w:ilvl w:val="0"/>
          <w:numId w:val="23"/>
        </w:numPr>
        <w:rPr>
          <w:rFonts w:cs="Arial"/>
          <w:noProof/>
          <w:szCs w:val="20"/>
        </w:rPr>
      </w:pPr>
      <w:r w:rsidRPr="00D0553C">
        <w:rPr>
          <w:rFonts w:cs="Arial"/>
          <w:noProof/>
          <w:szCs w:val="20"/>
        </w:rPr>
        <w:t>Documented diagnosis of stroke or TIA (transient ischemic attack) in the past year</w:t>
      </w:r>
      <w:r>
        <w:rPr>
          <w:rFonts w:cs="Arial"/>
          <w:noProof/>
          <w:szCs w:val="20"/>
        </w:rPr>
        <w:t xml:space="preserve">; </w:t>
      </w:r>
      <w:r w:rsidRPr="00434F10">
        <w:rPr>
          <w:rFonts w:cs="Arial"/>
          <w:b/>
          <w:bCs/>
          <w:noProof/>
          <w:szCs w:val="20"/>
        </w:rPr>
        <w:t>OR</w:t>
      </w:r>
    </w:p>
    <w:p w14:paraId="7B9A7CBA" w14:textId="77777777" w:rsidR="00885117" w:rsidRDefault="00885117" w:rsidP="00885117">
      <w:pPr>
        <w:pStyle w:val="ListParagraph"/>
        <w:numPr>
          <w:ilvl w:val="0"/>
          <w:numId w:val="23"/>
        </w:numPr>
        <w:rPr>
          <w:rFonts w:cs="Arial"/>
          <w:noProof/>
          <w:szCs w:val="20"/>
        </w:rPr>
      </w:pPr>
      <w:r w:rsidRPr="00D0553C">
        <w:rPr>
          <w:rFonts w:cs="Arial"/>
          <w:noProof/>
          <w:szCs w:val="20"/>
        </w:rPr>
        <w:t>Documented diagnosis of relevant brain hemmorrhage, bleeding disorder, or cerebrovascular abnormalities in the past 6 months</w:t>
      </w:r>
      <w:r>
        <w:rPr>
          <w:rFonts w:cs="Arial"/>
          <w:noProof/>
          <w:szCs w:val="20"/>
        </w:rPr>
        <w:t>.</w:t>
      </w:r>
    </w:p>
    <w:bookmarkEnd w:id="2"/>
    <w:p w14:paraId="4D21EAF1" w14:textId="77777777" w:rsidR="001E4CBA" w:rsidRDefault="001E4CBA" w:rsidP="001C73B1">
      <w:pPr>
        <w:pStyle w:val="ListParagraph"/>
        <w:numPr>
          <w:ilvl w:val="0"/>
          <w:numId w:val="0"/>
        </w:numPr>
        <w:ind w:left="360"/>
        <w:rPr>
          <w:rFonts w:cs="Arial"/>
          <w:szCs w:val="22"/>
        </w:rPr>
      </w:pPr>
    </w:p>
    <w:p w14:paraId="0BD95161" w14:textId="77777777" w:rsidR="005F6104" w:rsidRPr="00C02553" w:rsidRDefault="005F6104" w:rsidP="005F6104">
      <w:pPr>
        <w:pStyle w:val="Heading1"/>
        <w:rPr>
          <w:lang w:val="en-US"/>
        </w:rPr>
      </w:pPr>
      <w:bookmarkStart w:id="3" w:name="_Hlk34120952"/>
      <w:r w:rsidRPr="00C02553">
        <w:rPr>
          <w:lang w:val="en-US"/>
        </w:rPr>
        <w:t>Disposition of Edit</w:t>
      </w:r>
    </w:p>
    <w:p w14:paraId="2B4EAF92" w14:textId="77777777" w:rsidR="005F6104" w:rsidRPr="00C02553" w:rsidRDefault="005F6104" w:rsidP="005F6104">
      <w:r w:rsidRPr="00696E3A">
        <w:rPr>
          <w:b/>
          <w:bCs/>
        </w:rPr>
        <w:t>Denial:</w:t>
      </w:r>
      <w:r w:rsidRPr="00C02553">
        <w:t xml:space="preserve"> </w:t>
      </w:r>
      <w:r w:rsidRPr="00CC6BDE">
        <w:t>Exception code “0682” (Clinical Edit)</w:t>
      </w:r>
    </w:p>
    <w:p w14:paraId="04B2330F" w14:textId="77777777" w:rsidR="005F6104" w:rsidRPr="00C02553" w:rsidRDefault="005F6104" w:rsidP="005F6104">
      <w:r w:rsidRPr="00696E3A">
        <w:rPr>
          <w:b/>
          <w:bCs/>
        </w:rPr>
        <w:t>Rule Type:</w:t>
      </w:r>
      <w:r w:rsidRPr="00C02553">
        <w:t xml:space="preserve"> </w:t>
      </w:r>
      <w:r>
        <w:t>CE</w:t>
      </w:r>
    </w:p>
    <w:p w14:paraId="075A470F" w14:textId="77777777" w:rsidR="00383558" w:rsidRPr="004E3570" w:rsidRDefault="00343D6B" w:rsidP="00383558">
      <w:pPr>
        <w:rPr>
          <w:rFonts w:cs="Arial"/>
          <w:szCs w:val="20"/>
        </w:rPr>
      </w:pPr>
      <w:r w:rsidRPr="00696E3A">
        <w:rPr>
          <w:b/>
          <w:bCs/>
        </w:rPr>
        <w:t>Default Approval Period:</w:t>
      </w:r>
      <w:r w:rsidR="00973BD6">
        <w:t xml:space="preserve"> </w:t>
      </w:r>
      <w:r w:rsidR="00383558">
        <w:rPr>
          <w:rFonts w:cs="Arial"/>
          <w:szCs w:val="20"/>
        </w:rPr>
        <w:t>6 months</w:t>
      </w:r>
    </w:p>
    <w:p w14:paraId="6649BF8C" w14:textId="77777777" w:rsidR="00343D6B" w:rsidRPr="002C2C41" w:rsidRDefault="00343D6B" w:rsidP="00343D6B">
      <w:pPr>
        <w:rPr>
          <w:rFonts w:cs="Arial"/>
          <w:szCs w:val="20"/>
        </w:rPr>
      </w:pPr>
    </w:p>
    <w:bookmarkEnd w:id="3"/>
    <w:p w14:paraId="6413C0CF" w14:textId="530C1EC9" w:rsidR="00AE77DB" w:rsidRPr="00C02553" w:rsidRDefault="00AE77DB" w:rsidP="00343D6B">
      <w:pPr>
        <w:pStyle w:val="Heading1"/>
        <w:rPr>
          <w:lang w:val="en-US"/>
        </w:rPr>
      </w:pPr>
      <w:r w:rsidRPr="00C02553">
        <w:rPr>
          <w:lang w:val="en-US"/>
        </w:rPr>
        <w:t>References</w:t>
      </w:r>
    </w:p>
    <w:p w14:paraId="54EAAAB0" w14:textId="77777777" w:rsidR="00B92580" w:rsidRDefault="00B92580" w:rsidP="00B92580">
      <w:pPr>
        <w:pStyle w:val="ListParagraph"/>
      </w:pPr>
      <w:r>
        <w:t>Institute for Clinical and Economic Review (ICER).  Aducanumab for Alzheimer’s Disease: Effectiveness and Value, Final Evidence Report and Meeting Summary; August 5, 2021. ICER_ALZ_Final_Report_080521.pdf</w:t>
      </w:r>
    </w:p>
    <w:p w14:paraId="49A2F748" w14:textId="77777777" w:rsidR="00B92580" w:rsidRDefault="00B92580" w:rsidP="00B92580">
      <w:pPr>
        <w:pStyle w:val="ListParagraph"/>
      </w:pPr>
      <w:r>
        <w:t>Leqembi (lecanemab-irmb) [package insert]. Nutley, NJ: Eisai Inc. and Biogen. August 2025.</w:t>
      </w:r>
    </w:p>
    <w:p w14:paraId="0BF571BB" w14:textId="77777777" w:rsidR="00B92580" w:rsidRDefault="00B92580" w:rsidP="00B92580">
      <w:pPr>
        <w:pStyle w:val="ListParagraph"/>
      </w:pPr>
      <w:r>
        <w:t>IPD Analytics. New Drug Review: Leqembi. January 2023.</w:t>
      </w:r>
    </w:p>
    <w:p w14:paraId="6218CDFA" w14:textId="77777777" w:rsidR="00B92580" w:rsidRDefault="00B92580" w:rsidP="00B92580">
      <w:pPr>
        <w:pStyle w:val="ListParagraph"/>
      </w:pPr>
      <w:r>
        <w:t>Centers for Disease Control and Prevention. Alzheimer’s Disease and Related Dementias. https://www.cdc.gov/aging/aginginfo/alzheimers.htm#AlzheimersDisease?. Accessed November 2023.</w:t>
      </w:r>
    </w:p>
    <w:p w14:paraId="6CA2CEC1" w14:textId="77777777" w:rsidR="00B92580" w:rsidRDefault="00B92580" w:rsidP="00B92580">
      <w:pPr>
        <w:pStyle w:val="ListParagraph"/>
      </w:pPr>
      <w:r>
        <w:t>Kisunla (donanemab-azbt) [package insert]. Indianapolis, IN: Eli Lilly and Company. July 2025.</w:t>
      </w:r>
    </w:p>
    <w:p w14:paraId="3FA1E7DB" w14:textId="1A653DD2" w:rsidR="00777CA4" w:rsidRDefault="00777CA4" w:rsidP="00B92580">
      <w:pPr>
        <w:pStyle w:val="ListParagraph"/>
        <w:numPr>
          <w:ilvl w:val="0"/>
          <w:numId w:val="0"/>
        </w:numPr>
        <w:ind w:left="360"/>
      </w:pPr>
    </w:p>
    <w:sectPr w:rsidR="00777CA4" w:rsidSect="00AB0B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1F992" w14:textId="77777777" w:rsidR="00D67814" w:rsidRPr="00C02553" w:rsidRDefault="00D67814" w:rsidP="00AE77DB">
      <w:r w:rsidRPr="00C02553">
        <w:separator/>
      </w:r>
    </w:p>
  </w:endnote>
  <w:endnote w:type="continuationSeparator" w:id="0">
    <w:p w14:paraId="10726349" w14:textId="77777777" w:rsidR="00D67814" w:rsidRPr="00C02553" w:rsidRDefault="00D67814" w:rsidP="00AE77DB">
      <w:r w:rsidRPr="00C02553">
        <w:continuationSeparator/>
      </w:r>
    </w:p>
  </w:endnote>
  <w:endnote w:type="continuationNotice" w:id="1">
    <w:p w14:paraId="2E0D43E1" w14:textId="77777777" w:rsidR="00D67814" w:rsidRPr="00C02553" w:rsidRDefault="00D678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C" w14:textId="77777777" w:rsidR="00006A61" w:rsidRPr="00C02553" w:rsidRDefault="00006A61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 w:rsidRPr="00C02553">
      <w:rPr>
        <w:rStyle w:val="PageNumber"/>
        <w:rFonts w:ascii="Times New Roman" w:hAnsi="Times New Roman"/>
      </w:rPr>
      <w:fldChar w:fldCharType="begin"/>
    </w:r>
    <w:r w:rsidRPr="00C02553">
      <w:rPr>
        <w:rStyle w:val="PageNumber"/>
        <w:rFonts w:ascii="Times New Roman" w:hAnsi="Times New Roman"/>
      </w:rPr>
      <w:instrText xml:space="preserve">PAGE  </w:instrText>
    </w:r>
    <w:r w:rsidRPr="00C02553">
      <w:rPr>
        <w:rStyle w:val="PageNumber"/>
        <w:rFonts w:ascii="Times New Roman" w:hAnsi="Times New Roman"/>
      </w:rPr>
      <w:fldChar w:fldCharType="separate"/>
    </w:r>
    <w:r w:rsidRPr="00C02553">
      <w:rPr>
        <w:rStyle w:val="PageNumber"/>
        <w:rFonts w:ascii="Times New Roman" w:hAnsi="Times New Roman"/>
      </w:rPr>
      <w:t>2</w:t>
    </w:r>
    <w:r w:rsidRPr="00C02553">
      <w:rPr>
        <w:rStyle w:val="PageNumber"/>
        <w:rFonts w:ascii="Times New Roman" w:hAnsi="Times New Roman"/>
      </w:rPr>
      <w:fldChar w:fldCharType="end"/>
    </w:r>
  </w:p>
  <w:p w14:paraId="6413C0ED" w14:textId="77777777" w:rsidR="00006A61" w:rsidRPr="00C02553" w:rsidRDefault="00006A61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7ECE" w14:textId="2F12D58C" w:rsidR="00811A70" w:rsidRPr="00C02553" w:rsidRDefault="00811A70" w:rsidP="00811A70">
    <w:pPr>
      <w:pStyle w:val="Footer"/>
      <w:tabs>
        <w:tab w:val="clear" w:pos="8640"/>
        <w:tab w:val="right" w:pos="9360"/>
      </w:tabs>
      <w:rPr>
        <w:rFonts w:cs="Arial"/>
        <w:sz w:val="16"/>
        <w:szCs w:val="16"/>
      </w:rPr>
    </w:pPr>
    <w:proofErr w:type="spellStart"/>
    <w:r w:rsidRPr="00C02553">
      <w:rPr>
        <w:rFonts w:cs="Arial"/>
        <w:sz w:val="16"/>
        <w:szCs w:val="16"/>
      </w:rPr>
      <w:t>SmartPA</w:t>
    </w:r>
    <w:proofErr w:type="spellEnd"/>
    <w:r w:rsidRPr="00C02553">
      <w:rPr>
        <w:rFonts w:cs="Arial"/>
        <w:sz w:val="16"/>
        <w:szCs w:val="16"/>
      </w:rPr>
      <w:t xml:space="preserve"> </w:t>
    </w:r>
    <w:r w:rsidR="00AE27F9">
      <w:rPr>
        <w:rFonts w:cs="Arial"/>
        <w:sz w:val="16"/>
        <w:szCs w:val="16"/>
      </w:rPr>
      <w:t>Clinical</w:t>
    </w:r>
    <w:r w:rsidRPr="00C02553">
      <w:rPr>
        <w:rFonts w:cs="Arial"/>
        <w:sz w:val="16"/>
        <w:szCs w:val="16"/>
      </w:rPr>
      <w:t xml:space="preserve"> Proposal Form</w:t>
    </w:r>
  </w:p>
  <w:p w14:paraId="64986366" w14:textId="56923C2A" w:rsidR="00811A70" w:rsidRPr="00C02553" w:rsidRDefault="00811A70" w:rsidP="00811A70">
    <w:pPr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55B904FD" w14:textId="452A3398" w:rsidR="00811A70" w:rsidRPr="00C02553" w:rsidRDefault="00811A70" w:rsidP="00811A70">
    <w:pPr>
      <w:pStyle w:val="Footer"/>
    </w:pPr>
    <w:r w:rsidRPr="00C02553">
      <w:rPr>
        <w:rFonts w:cs="Arial"/>
        <w:sz w:val="16"/>
        <w:szCs w:val="16"/>
      </w:rPr>
      <w:t>Other company trademarks are also acknowledged.</w:t>
    </w:r>
  </w:p>
  <w:sdt>
    <w:sdtPr>
      <w:id w:val="-1253112024"/>
      <w:docPartObj>
        <w:docPartGallery w:val="Page Numbers (Bottom of Page)"/>
        <w:docPartUnique/>
      </w:docPartObj>
    </w:sdtPr>
    <w:sdtEndPr/>
    <w:sdtContent>
      <w:p w14:paraId="6B0566A7" w14:textId="62FB1748" w:rsidR="00811A70" w:rsidRPr="00C02553" w:rsidRDefault="00811A70">
        <w:pPr>
          <w:pStyle w:val="Footer"/>
          <w:jc w:val="right"/>
        </w:pPr>
        <w:r w:rsidRPr="00C02553">
          <w:fldChar w:fldCharType="begin"/>
        </w:r>
        <w:r w:rsidRPr="00C02553">
          <w:instrText xml:space="preserve"> PAGE   \* MERGEFORMAT </w:instrText>
        </w:r>
        <w:r w:rsidRPr="00C02553">
          <w:fldChar w:fldCharType="separate"/>
        </w:r>
        <w:r w:rsidRPr="00C02553">
          <w:t>2</w:t>
        </w:r>
        <w:r w:rsidRPr="00C02553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32A3" w14:textId="7267A10D" w:rsidR="005058CB" w:rsidRPr="00C02553" w:rsidRDefault="005058CB" w:rsidP="005058CB">
    <w:pPr>
      <w:pStyle w:val="Footer"/>
      <w:tabs>
        <w:tab w:val="clear" w:pos="8640"/>
        <w:tab w:val="right" w:pos="9360"/>
      </w:tabs>
      <w:jc w:val="both"/>
      <w:rPr>
        <w:rFonts w:cs="Arial"/>
        <w:sz w:val="16"/>
        <w:szCs w:val="16"/>
      </w:rPr>
    </w:pPr>
    <w:proofErr w:type="spellStart"/>
    <w:r w:rsidRPr="00C02553">
      <w:rPr>
        <w:rFonts w:cs="Arial"/>
        <w:sz w:val="16"/>
        <w:szCs w:val="16"/>
      </w:rPr>
      <w:t>SmartPA</w:t>
    </w:r>
    <w:proofErr w:type="spellEnd"/>
    <w:r w:rsidR="00AE27F9">
      <w:rPr>
        <w:rFonts w:cs="Arial"/>
        <w:sz w:val="16"/>
        <w:szCs w:val="16"/>
      </w:rPr>
      <w:t xml:space="preserve"> Clinical</w:t>
    </w:r>
    <w:r w:rsidRPr="00C02553">
      <w:rPr>
        <w:rFonts w:cs="Arial"/>
        <w:sz w:val="16"/>
        <w:szCs w:val="16"/>
      </w:rPr>
      <w:t xml:space="preserve"> Proposal Form</w:t>
    </w:r>
  </w:p>
  <w:p w14:paraId="4BB04B71" w14:textId="6D51E804" w:rsidR="005058CB" w:rsidRPr="00C02553" w:rsidRDefault="005058CB" w:rsidP="005058CB">
    <w:pPr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02F12BA7" w14:textId="454AF8AF" w:rsidR="005058CB" w:rsidRPr="00C02553" w:rsidRDefault="005058CB" w:rsidP="005058CB">
    <w:pPr>
      <w:pStyle w:val="Footer"/>
      <w:tabs>
        <w:tab w:val="clear" w:pos="4320"/>
        <w:tab w:val="clear" w:pos="8640"/>
        <w:tab w:val="left" w:pos="3298"/>
      </w:tabs>
      <w:jc w:val="both"/>
    </w:pPr>
    <w:r w:rsidRPr="00C02553">
      <w:rPr>
        <w:rFonts w:cs="Arial"/>
        <w:sz w:val="16"/>
        <w:szCs w:val="16"/>
      </w:rPr>
      <w:t>Other company trademarks are also acknowledged.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FF4BE" w14:textId="77777777" w:rsidR="00D67814" w:rsidRPr="00C02553" w:rsidRDefault="00D67814" w:rsidP="00AE77DB">
      <w:r w:rsidRPr="00C02553">
        <w:separator/>
      </w:r>
    </w:p>
  </w:footnote>
  <w:footnote w:type="continuationSeparator" w:id="0">
    <w:p w14:paraId="6F71FA1D" w14:textId="77777777" w:rsidR="00D67814" w:rsidRPr="00C02553" w:rsidRDefault="00D67814" w:rsidP="00AE77DB">
      <w:r w:rsidRPr="00C02553">
        <w:continuationSeparator/>
      </w:r>
    </w:p>
  </w:footnote>
  <w:footnote w:type="continuationNotice" w:id="1">
    <w:p w14:paraId="2D705F09" w14:textId="77777777" w:rsidR="00D67814" w:rsidRPr="00C02553" w:rsidRDefault="00D678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A" w14:textId="2310E290" w:rsidR="00006A61" w:rsidRPr="00C02553" w:rsidRDefault="00F862CD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noProof/>
      </w:rPr>
      <w:pict w14:anchorId="259368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52110" o:spid="_x0000_s1026" type="#_x0000_t136" style="position:absolute;margin-left:0;margin-top:0;width:471.3pt;height:188.5pt;rotation:315;z-index:-251654144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  <w:r w:rsidR="00006A61" w:rsidRPr="00C02553">
      <w:rPr>
        <w:rStyle w:val="PageNumber"/>
        <w:rFonts w:ascii="Times New Roman" w:hAnsi="Times New Roman"/>
      </w:rPr>
      <w:fldChar w:fldCharType="begin"/>
    </w:r>
    <w:r w:rsidR="00006A61" w:rsidRPr="00C02553">
      <w:rPr>
        <w:rStyle w:val="PageNumber"/>
        <w:rFonts w:ascii="Times New Roman" w:hAnsi="Times New Roman"/>
      </w:rPr>
      <w:instrText xml:space="preserve">PAGE  </w:instrText>
    </w:r>
    <w:r w:rsidR="00006A61" w:rsidRPr="00C02553">
      <w:rPr>
        <w:rStyle w:val="PageNumber"/>
        <w:rFonts w:ascii="Times New Roman" w:hAnsi="Times New Roman"/>
      </w:rPr>
      <w:fldChar w:fldCharType="separate"/>
    </w:r>
    <w:r w:rsidR="00006A61" w:rsidRPr="00C02553">
      <w:rPr>
        <w:rStyle w:val="PageNumber"/>
        <w:rFonts w:ascii="Times New Roman" w:hAnsi="Times New Roman"/>
      </w:rPr>
      <w:t>2</w:t>
    </w:r>
    <w:r w:rsidR="00006A61" w:rsidRPr="00C02553">
      <w:rPr>
        <w:rStyle w:val="PageNumber"/>
        <w:rFonts w:ascii="Times New Roman" w:hAnsi="Times New Roman"/>
      </w:rPr>
      <w:fldChar w:fldCharType="end"/>
    </w:r>
  </w:p>
  <w:p w14:paraId="6413C0EB" w14:textId="77777777" w:rsidR="00006A61" w:rsidRPr="00C02553" w:rsidRDefault="00006A61">
    <w:pPr>
      <w:pStyle w:val="Header"/>
      <w:ind w:right="360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5C89" w14:textId="2C1D6ABF" w:rsidR="00596936" w:rsidRDefault="00F862CD">
    <w:pPr>
      <w:pStyle w:val="Header"/>
    </w:pPr>
    <w:r>
      <w:rPr>
        <w:noProof/>
      </w:rPr>
      <w:pict w14:anchorId="7F2AE8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52111" o:spid="_x0000_s1027" type="#_x0000_t136" style="position:absolute;margin-left:0;margin-top:0;width:471.3pt;height:188.5pt;rotation:315;z-index:-251652096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F5" w14:textId="0CB9D10B" w:rsidR="00006A61" w:rsidRPr="00C02553" w:rsidRDefault="00F862CD">
    <w:pPr>
      <w:pStyle w:val="Header"/>
      <w:rPr>
        <w:rFonts w:ascii="Times New Roman" w:hAnsi="Times New Roman"/>
      </w:rPr>
    </w:pPr>
    <w:r>
      <w:rPr>
        <w:noProof/>
      </w:rPr>
      <w:pict w14:anchorId="333ED6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52109" o:spid="_x0000_s1025" type="#_x0000_t136" style="position:absolute;margin-left:0;margin-top:0;width:471.3pt;height:188.5pt;rotation:315;z-index:-251656192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  <w:r w:rsidR="00AB0B9F" w:rsidRPr="00C02553">
      <w:rPr>
        <w:noProof/>
      </w:rPr>
      <w:drawing>
        <wp:anchor distT="0" distB="0" distL="114300" distR="114300" simplePos="0" relativeHeight="251658240" behindDoc="0" locked="0" layoutInCell="1" allowOverlap="1" wp14:anchorId="5FC91FEB" wp14:editId="34B93FD0">
          <wp:simplePos x="0" y="0"/>
          <wp:positionH relativeFrom="margin">
            <wp:posOffset>3844562</wp:posOffset>
          </wp:positionH>
          <wp:positionV relativeFrom="topMargin">
            <wp:posOffset>280035</wp:posOffset>
          </wp:positionV>
          <wp:extent cx="2247900" cy="823595"/>
          <wp:effectExtent l="0" t="0" r="0" b="0"/>
          <wp:wrapNone/>
          <wp:docPr id="1097982338" name="Picture 10979823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82338" name="Picture 109798233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8235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dec="http://schemas.microsoft.com/office/drawing/2017/decorativ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053">
      <w:rPr>
        <w:noProof/>
      </w:rPr>
      <w:drawing>
        <wp:inline distT="0" distB="0" distL="0" distR="0" wp14:anchorId="7324E1DB" wp14:editId="55411647">
          <wp:extent cx="2887345" cy="937260"/>
          <wp:effectExtent l="0" t="0" r="8255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7345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EB0A3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9E4FE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C9D228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4E114E"/>
    <w:multiLevelType w:val="multilevel"/>
    <w:tmpl w:val="0409001D"/>
    <w:styleLink w:val="ProposalCriteri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8D40C3"/>
    <w:multiLevelType w:val="multilevel"/>
    <w:tmpl w:val="E1A2A51C"/>
    <w:numStyleLink w:val="References"/>
  </w:abstractNum>
  <w:abstractNum w:abstractNumId="5" w15:restartNumberingAfterBreak="0">
    <w:nsid w:val="0F6536CD"/>
    <w:multiLevelType w:val="hybridMultilevel"/>
    <w:tmpl w:val="2A648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040D15"/>
    <w:multiLevelType w:val="hybridMultilevel"/>
    <w:tmpl w:val="EF7A9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32E36"/>
    <w:multiLevelType w:val="hybridMultilevel"/>
    <w:tmpl w:val="D8ACD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D006A3"/>
    <w:multiLevelType w:val="multilevel"/>
    <w:tmpl w:val="0409001D"/>
    <w:styleLink w:val="ProposalCriteri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9CC27D0"/>
    <w:multiLevelType w:val="multilevel"/>
    <w:tmpl w:val="0409001D"/>
    <w:styleLink w:val="ListProposal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AF357E0"/>
    <w:multiLevelType w:val="hybridMultilevel"/>
    <w:tmpl w:val="EC808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BE7049"/>
    <w:multiLevelType w:val="hybridMultilevel"/>
    <w:tmpl w:val="1EEEDC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43ECA"/>
    <w:multiLevelType w:val="hybridMultilevel"/>
    <w:tmpl w:val="1570AD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6A519F"/>
    <w:multiLevelType w:val="hybridMultilevel"/>
    <w:tmpl w:val="D8F85D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38EC"/>
    <w:multiLevelType w:val="hybridMultilevel"/>
    <w:tmpl w:val="5F84E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2B1329"/>
    <w:multiLevelType w:val="multilevel"/>
    <w:tmpl w:val="7B30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AB37B0"/>
    <w:multiLevelType w:val="hybridMultilevel"/>
    <w:tmpl w:val="685E46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BB0633"/>
    <w:multiLevelType w:val="hybridMultilevel"/>
    <w:tmpl w:val="88C465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112A3E"/>
    <w:multiLevelType w:val="multilevel"/>
    <w:tmpl w:val="DDB4D214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930084"/>
    <w:multiLevelType w:val="hybridMultilevel"/>
    <w:tmpl w:val="F03E3D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E70934"/>
    <w:multiLevelType w:val="hybridMultilevel"/>
    <w:tmpl w:val="FDAC3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6A5174"/>
    <w:multiLevelType w:val="multilevel"/>
    <w:tmpl w:val="E1A2A51C"/>
    <w:styleLink w:val="Reference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EF64B0"/>
    <w:multiLevelType w:val="hybridMultilevel"/>
    <w:tmpl w:val="F8DE14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7994657">
    <w:abstractNumId w:val="0"/>
  </w:num>
  <w:num w:numId="2" w16cid:durableId="517891239">
    <w:abstractNumId w:val="21"/>
  </w:num>
  <w:num w:numId="3" w16cid:durableId="1729067566">
    <w:abstractNumId w:val="4"/>
  </w:num>
  <w:num w:numId="4" w16cid:durableId="320159068">
    <w:abstractNumId w:val="9"/>
  </w:num>
  <w:num w:numId="5" w16cid:durableId="1769498754">
    <w:abstractNumId w:val="3"/>
  </w:num>
  <w:num w:numId="6" w16cid:durableId="1094596320">
    <w:abstractNumId w:val="18"/>
  </w:num>
  <w:num w:numId="7" w16cid:durableId="2110008555">
    <w:abstractNumId w:val="2"/>
  </w:num>
  <w:num w:numId="8" w16cid:durableId="489712751">
    <w:abstractNumId w:val="8"/>
  </w:num>
  <w:num w:numId="9" w16cid:durableId="1085147965">
    <w:abstractNumId w:val="14"/>
  </w:num>
  <w:num w:numId="10" w16cid:durableId="917518096">
    <w:abstractNumId w:val="10"/>
  </w:num>
  <w:num w:numId="11" w16cid:durableId="1894998475">
    <w:abstractNumId w:val="1"/>
  </w:num>
  <w:num w:numId="12" w16cid:durableId="1418215296">
    <w:abstractNumId w:val="20"/>
  </w:num>
  <w:num w:numId="13" w16cid:durableId="604729665">
    <w:abstractNumId w:val="6"/>
  </w:num>
  <w:num w:numId="14" w16cid:durableId="1805081292">
    <w:abstractNumId w:val="15"/>
  </w:num>
  <w:num w:numId="15" w16cid:durableId="1911186802">
    <w:abstractNumId w:val="7"/>
  </w:num>
  <w:num w:numId="16" w16cid:durableId="735394823">
    <w:abstractNumId w:val="16"/>
  </w:num>
  <w:num w:numId="17" w16cid:durableId="953169665">
    <w:abstractNumId w:val="19"/>
  </w:num>
  <w:num w:numId="18" w16cid:durableId="1528834942">
    <w:abstractNumId w:val="11"/>
  </w:num>
  <w:num w:numId="19" w16cid:durableId="324086758">
    <w:abstractNumId w:val="12"/>
  </w:num>
  <w:num w:numId="20" w16cid:durableId="1729765955">
    <w:abstractNumId w:val="22"/>
  </w:num>
  <w:num w:numId="21" w16cid:durableId="1777750406">
    <w:abstractNumId w:val="17"/>
  </w:num>
  <w:num w:numId="22" w16cid:durableId="1149980715">
    <w:abstractNumId w:val="5"/>
  </w:num>
  <w:num w:numId="23" w16cid:durableId="1015573061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trackRevisions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7DB"/>
    <w:rsid w:val="0000457E"/>
    <w:rsid w:val="00006A61"/>
    <w:rsid w:val="00020B9A"/>
    <w:rsid w:val="000276D9"/>
    <w:rsid w:val="000344C5"/>
    <w:rsid w:val="00040AD3"/>
    <w:rsid w:val="00053807"/>
    <w:rsid w:val="000572E5"/>
    <w:rsid w:val="00061541"/>
    <w:rsid w:val="00064162"/>
    <w:rsid w:val="00065C22"/>
    <w:rsid w:val="00074464"/>
    <w:rsid w:val="00076030"/>
    <w:rsid w:val="000805F8"/>
    <w:rsid w:val="00082590"/>
    <w:rsid w:val="000913C3"/>
    <w:rsid w:val="000953B9"/>
    <w:rsid w:val="000A413B"/>
    <w:rsid w:val="000A6279"/>
    <w:rsid w:val="000B496B"/>
    <w:rsid w:val="000B73DD"/>
    <w:rsid w:val="000C3940"/>
    <w:rsid w:val="000C5992"/>
    <w:rsid w:val="000E1479"/>
    <w:rsid w:val="000E231E"/>
    <w:rsid w:val="000E247D"/>
    <w:rsid w:val="000E6B14"/>
    <w:rsid w:val="000E70D8"/>
    <w:rsid w:val="001062F6"/>
    <w:rsid w:val="00112FC7"/>
    <w:rsid w:val="00125F5F"/>
    <w:rsid w:val="00126951"/>
    <w:rsid w:val="00126B60"/>
    <w:rsid w:val="00127EF6"/>
    <w:rsid w:val="001310AD"/>
    <w:rsid w:val="001314A5"/>
    <w:rsid w:val="00132C7F"/>
    <w:rsid w:val="001358EE"/>
    <w:rsid w:val="00144DBE"/>
    <w:rsid w:val="00152C8B"/>
    <w:rsid w:val="0015636A"/>
    <w:rsid w:val="00172053"/>
    <w:rsid w:val="00177A80"/>
    <w:rsid w:val="00187EAA"/>
    <w:rsid w:val="001A11F0"/>
    <w:rsid w:val="001A50CB"/>
    <w:rsid w:val="001A74B7"/>
    <w:rsid w:val="001B2D47"/>
    <w:rsid w:val="001C0250"/>
    <w:rsid w:val="001C6DA4"/>
    <w:rsid w:val="001C73B1"/>
    <w:rsid w:val="001D1E7D"/>
    <w:rsid w:val="001D6567"/>
    <w:rsid w:val="001E2CCB"/>
    <w:rsid w:val="001E4CBA"/>
    <w:rsid w:val="001E523C"/>
    <w:rsid w:val="001E61DF"/>
    <w:rsid w:val="001F2B9F"/>
    <w:rsid w:val="001F5954"/>
    <w:rsid w:val="00202DD3"/>
    <w:rsid w:val="00206E7D"/>
    <w:rsid w:val="00217E14"/>
    <w:rsid w:val="00217EFD"/>
    <w:rsid w:val="00222134"/>
    <w:rsid w:val="0022233F"/>
    <w:rsid w:val="00226275"/>
    <w:rsid w:val="00246564"/>
    <w:rsid w:val="00246A3B"/>
    <w:rsid w:val="00250FBF"/>
    <w:rsid w:val="002542F7"/>
    <w:rsid w:val="00255404"/>
    <w:rsid w:val="0025594F"/>
    <w:rsid w:val="00257E87"/>
    <w:rsid w:val="0026078F"/>
    <w:rsid w:val="00270C5E"/>
    <w:rsid w:val="0028095A"/>
    <w:rsid w:val="00290A03"/>
    <w:rsid w:val="0029159A"/>
    <w:rsid w:val="00291600"/>
    <w:rsid w:val="002A02F4"/>
    <w:rsid w:val="002B2398"/>
    <w:rsid w:val="002B3264"/>
    <w:rsid w:val="002B6006"/>
    <w:rsid w:val="002C2C41"/>
    <w:rsid w:val="002C62E7"/>
    <w:rsid w:val="002D1FE9"/>
    <w:rsid w:val="002E05E2"/>
    <w:rsid w:val="002E2DD6"/>
    <w:rsid w:val="002E35DE"/>
    <w:rsid w:val="002E3F28"/>
    <w:rsid w:val="002F0E52"/>
    <w:rsid w:val="002F2274"/>
    <w:rsid w:val="002F2405"/>
    <w:rsid w:val="002F690F"/>
    <w:rsid w:val="002F78F9"/>
    <w:rsid w:val="0030301F"/>
    <w:rsid w:val="00303B21"/>
    <w:rsid w:val="00313701"/>
    <w:rsid w:val="00314430"/>
    <w:rsid w:val="00316188"/>
    <w:rsid w:val="003171AF"/>
    <w:rsid w:val="00317469"/>
    <w:rsid w:val="0032215C"/>
    <w:rsid w:val="0032616B"/>
    <w:rsid w:val="00326687"/>
    <w:rsid w:val="003275F9"/>
    <w:rsid w:val="00330DD4"/>
    <w:rsid w:val="003345D2"/>
    <w:rsid w:val="003355AC"/>
    <w:rsid w:val="00343D6B"/>
    <w:rsid w:val="00346090"/>
    <w:rsid w:val="00347FB5"/>
    <w:rsid w:val="00355515"/>
    <w:rsid w:val="003608B5"/>
    <w:rsid w:val="003613AF"/>
    <w:rsid w:val="00366B0D"/>
    <w:rsid w:val="00383558"/>
    <w:rsid w:val="003878C1"/>
    <w:rsid w:val="00392C4B"/>
    <w:rsid w:val="00396C0B"/>
    <w:rsid w:val="00396DFB"/>
    <w:rsid w:val="003A630F"/>
    <w:rsid w:val="003B3958"/>
    <w:rsid w:val="003B4820"/>
    <w:rsid w:val="003B5F4B"/>
    <w:rsid w:val="003B682F"/>
    <w:rsid w:val="003C53FC"/>
    <w:rsid w:val="003C7013"/>
    <w:rsid w:val="003D4704"/>
    <w:rsid w:val="003D641B"/>
    <w:rsid w:val="003F227C"/>
    <w:rsid w:val="004023CC"/>
    <w:rsid w:val="00407564"/>
    <w:rsid w:val="00411152"/>
    <w:rsid w:val="004156AA"/>
    <w:rsid w:val="004253A1"/>
    <w:rsid w:val="00430D4B"/>
    <w:rsid w:val="004313B6"/>
    <w:rsid w:val="00433339"/>
    <w:rsid w:val="00446BBC"/>
    <w:rsid w:val="004472C0"/>
    <w:rsid w:val="00450705"/>
    <w:rsid w:val="00451928"/>
    <w:rsid w:val="0046618B"/>
    <w:rsid w:val="00484F95"/>
    <w:rsid w:val="0048608C"/>
    <w:rsid w:val="00496E57"/>
    <w:rsid w:val="004B3E10"/>
    <w:rsid w:val="004C0F5D"/>
    <w:rsid w:val="004C375A"/>
    <w:rsid w:val="004C4954"/>
    <w:rsid w:val="004C5767"/>
    <w:rsid w:val="004D5322"/>
    <w:rsid w:val="004D78B0"/>
    <w:rsid w:val="004E611F"/>
    <w:rsid w:val="004F2A79"/>
    <w:rsid w:val="004F4D37"/>
    <w:rsid w:val="00501A14"/>
    <w:rsid w:val="00501DE3"/>
    <w:rsid w:val="005058CB"/>
    <w:rsid w:val="0051044D"/>
    <w:rsid w:val="005139E4"/>
    <w:rsid w:val="00515075"/>
    <w:rsid w:val="00520FE9"/>
    <w:rsid w:val="005233E7"/>
    <w:rsid w:val="005328B2"/>
    <w:rsid w:val="00535BD5"/>
    <w:rsid w:val="00540977"/>
    <w:rsid w:val="00551668"/>
    <w:rsid w:val="005572D5"/>
    <w:rsid w:val="00557851"/>
    <w:rsid w:val="00566BE4"/>
    <w:rsid w:val="00570D21"/>
    <w:rsid w:val="00576113"/>
    <w:rsid w:val="00590652"/>
    <w:rsid w:val="0059235F"/>
    <w:rsid w:val="00596936"/>
    <w:rsid w:val="005A035C"/>
    <w:rsid w:val="005A0616"/>
    <w:rsid w:val="005A2F1E"/>
    <w:rsid w:val="005A4232"/>
    <w:rsid w:val="005C3616"/>
    <w:rsid w:val="005D36B2"/>
    <w:rsid w:val="005D52E7"/>
    <w:rsid w:val="005D78B5"/>
    <w:rsid w:val="005E3572"/>
    <w:rsid w:val="005E45E4"/>
    <w:rsid w:val="005E743C"/>
    <w:rsid w:val="005F0A81"/>
    <w:rsid w:val="005F0FCF"/>
    <w:rsid w:val="005F6104"/>
    <w:rsid w:val="0060042F"/>
    <w:rsid w:val="006008BC"/>
    <w:rsid w:val="00602CFD"/>
    <w:rsid w:val="00606B55"/>
    <w:rsid w:val="00612A7B"/>
    <w:rsid w:val="00616E5E"/>
    <w:rsid w:val="006173A4"/>
    <w:rsid w:val="006205AD"/>
    <w:rsid w:val="00625C3A"/>
    <w:rsid w:val="00635DDB"/>
    <w:rsid w:val="0064149A"/>
    <w:rsid w:val="00646DFE"/>
    <w:rsid w:val="00650530"/>
    <w:rsid w:val="00650C96"/>
    <w:rsid w:val="00653788"/>
    <w:rsid w:val="0065477F"/>
    <w:rsid w:val="00656896"/>
    <w:rsid w:val="00661656"/>
    <w:rsid w:val="0066374F"/>
    <w:rsid w:val="00672D87"/>
    <w:rsid w:val="00677C65"/>
    <w:rsid w:val="00693152"/>
    <w:rsid w:val="00694FAE"/>
    <w:rsid w:val="00696E3A"/>
    <w:rsid w:val="006A0834"/>
    <w:rsid w:val="006A13A6"/>
    <w:rsid w:val="006A4BBD"/>
    <w:rsid w:val="006A52F1"/>
    <w:rsid w:val="006B561D"/>
    <w:rsid w:val="006B6D5D"/>
    <w:rsid w:val="006C6051"/>
    <w:rsid w:val="006D2330"/>
    <w:rsid w:val="006E0F8B"/>
    <w:rsid w:val="006E12F7"/>
    <w:rsid w:val="006E1B70"/>
    <w:rsid w:val="006E29D7"/>
    <w:rsid w:val="006F5F95"/>
    <w:rsid w:val="006F6F02"/>
    <w:rsid w:val="007068A4"/>
    <w:rsid w:val="00706D67"/>
    <w:rsid w:val="00713052"/>
    <w:rsid w:val="00721367"/>
    <w:rsid w:val="007231FA"/>
    <w:rsid w:val="00732C67"/>
    <w:rsid w:val="007335B6"/>
    <w:rsid w:val="00734418"/>
    <w:rsid w:val="00757826"/>
    <w:rsid w:val="00762B13"/>
    <w:rsid w:val="007632B7"/>
    <w:rsid w:val="0076382F"/>
    <w:rsid w:val="00764A03"/>
    <w:rsid w:val="00765768"/>
    <w:rsid w:val="00765D10"/>
    <w:rsid w:val="00766AC8"/>
    <w:rsid w:val="00767486"/>
    <w:rsid w:val="0077070E"/>
    <w:rsid w:val="00770763"/>
    <w:rsid w:val="0077296A"/>
    <w:rsid w:val="00777CA4"/>
    <w:rsid w:val="00792B8E"/>
    <w:rsid w:val="00792DF0"/>
    <w:rsid w:val="0079438F"/>
    <w:rsid w:val="007A1AEC"/>
    <w:rsid w:val="007A3034"/>
    <w:rsid w:val="007A527E"/>
    <w:rsid w:val="007A53E7"/>
    <w:rsid w:val="007A78F7"/>
    <w:rsid w:val="007B3333"/>
    <w:rsid w:val="007B379F"/>
    <w:rsid w:val="007B37D6"/>
    <w:rsid w:val="007B5D30"/>
    <w:rsid w:val="007C6883"/>
    <w:rsid w:val="007D2920"/>
    <w:rsid w:val="007D42DD"/>
    <w:rsid w:val="007E2CDB"/>
    <w:rsid w:val="007E6A37"/>
    <w:rsid w:val="007F1774"/>
    <w:rsid w:val="00810722"/>
    <w:rsid w:val="00811A70"/>
    <w:rsid w:val="0081406E"/>
    <w:rsid w:val="00832211"/>
    <w:rsid w:val="008325F4"/>
    <w:rsid w:val="00832AC8"/>
    <w:rsid w:val="008365C6"/>
    <w:rsid w:val="00846FA4"/>
    <w:rsid w:val="008524BA"/>
    <w:rsid w:val="00852B74"/>
    <w:rsid w:val="00856928"/>
    <w:rsid w:val="00865538"/>
    <w:rsid w:val="00870875"/>
    <w:rsid w:val="0088225C"/>
    <w:rsid w:val="00884026"/>
    <w:rsid w:val="00884C78"/>
    <w:rsid w:val="00885117"/>
    <w:rsid w:val="008859E1"/>
    <w:rsid w:val="00896264"/>
    <w:rsid w:val="008A5D88"/>
    <w:rsid w:val="008B2851"/>
    <w:rsid w:val="008C000E"/>
    <w:rsid w:val="008D0F2F"/>
    <w:rsid w:val="008D237F"/>
    <w:rsid w:val="008D6B05"/>
    <w:rsid w:val="008E7D2D"/>
    <w:rsid w:val="008F44C0"/>
    <w:rsid w:val="008F497F"/>
    <w:rsid w:val="008F5999"/>
    <w:rsid w:val="00903AD6"/>
    <w:rsid w:val="00904D7A"/>
    <w:rsid w:val="00915332"/>
    <w:rsid w:val="009204BB"/>
    <w:rsid w:val="00935918"/>
    <w:rsid w:val="00935EC3"/>
    <w:rsid w:val="00951097"/>
    <w:rsid w:val="00953C1E"/>
    <w:rsid w:val="0096210F"/>
    <w:rsid w:val="00962633"/>
    <w:rsid w:val="00963187"/>
    <w:rsid w:val="00963ACF"/>
    <w:rsid w:val="00963D1C"/>
    <w:rsid w:val="00964284"/>
    <w:rsid w:val="0097028A"/>
    <w:rsid w:val="00973BD6"/>
    <w:rsid w:val="00984549"/>
    <w:rsid w:val="00985D28"/>
    <w:rsid w:val="00991BF0"/>
    <w:rsid w:val="00992EA3"/>
    <w:rsid w:val="009A0FB1"/>
    <w:rsid w:val="009A1FAC"/>
    <w:rsid w:val="009B001A"/>
    <w:rsid w:val="009B0624"/>
    <w:rsid w:val="009B1A62"/>
    <w:rsid w:val="009C3CC7"/>
    <w:rsid w:val="009D2057"/>
    <w:rsid w:val="009D3D6C"/>
    <w:rsid w:val="009D5551"/>
    <w:rsid w:val="009D62DB"/>
    <w:rsid w:val="009E3B42"/>
    <w:rsid w:val="009F518A"/>
    <w:rsid w:val="00A02AF6"/>
    <w:rsid w:val="00A05B60"/>
    <w:rsid w:val="00A13266"/>
    <w:rsid w:val="00A13B73"/>
    <w:rsid w:val="00A14FA6"/>
    <w:rsid w:val="00A15D64"/>
    <w:rsid w:val="00A20575"/>
    <w:rsid w:val="00A32452"/>
    <w:rsid w:val="00A325CC"/>
    <w:rsid w:val="00A32BBF"/>
    <w:rsid w:val="00A37444"/>
    <w:rsid w:val="00A4281A"/>
    <w:rsid w:val="00A459CF"/>
    <w:rsid w:val="00A5014D"/>
    <w:rsid w:val="00A53E96"/>
    <w:rsid w:val="00A56F18"/>
    <w:rsid w:val="00A628F8"/>
    <w:rsid w:val="00A62BAA"/>
    <w:rsid w:val="00A66172"/>
    <w:rsid w:val="00A744C3"/>
    <w:rsid w:val="00A849F8"/>
    <w:rsid w:val="00A90DFD"/>
    <w:rsid w:val="00AA70AB"/>
    <w:rsid w:val="00AB0B9F"/>
    <w:rsid w:val="00AB1713"/>
    <w:rsid w:val="00AB63BE"/>
    <w:rsid w:val="00AC1EBC"/>
    <w:rsid w:val="00AC2599"/>
    <w:rsid w:val="00AC2DE9"/>
    <w:rsid w:val="00AC3CD9"/>
    <w:rsid w:val="00AD2C5F"/>
    <w:rsid w:val="00AE1481"/>
    <w:rsid w:val="00AE27F9"/>
    <w:rsid w:val="00AE77DB"/>
    <w:rsid w:val="00AF7453"/>
    <w:rsid w:val="00B00FFF"/>
    <w:rsid w:val="00B06084"/>
    <w:rsid w:val="00B16735"/>
    <w:rsid w:val="00B17EDE"/>
    <w:rsid w:val="00B22585"/>
    <w:rsid w:val="00B33693"/>
    <w:rsid w:val="00B34C53"/>
    <w:rsid w:val="00B507A5"/>
    <w:rsid w:val="00B52475"/>
    <w:rsid w:val="00B535DA"/>
    <w:rsid w:val="00B56DCC"/>
    <w:rsid w:val="00B56F54"/>
    <w:rsid w:val="00B638C2"/>
    <w:rsid w:val="00B758AB"/>
    <w:rsid w:val="00B76277"/>
    <w:rsid w:val="00B772AB"/>
    <w:rsid w:val="00B80395"/>
    <w:rsid w:val="00B80B56"/>
    <w:rsid w:val="00B86372"/>
    <w:rsid w:val="00B92580"/>
    <w:rsid w:val="00BA1C17"/>
    <w:rsid w:val="00BA1D65"/>
    <w:rsid w:val="00BB069D"/>
    <w:rsid w:val="00BB3B4D"/>
    <w:rsid w:val="00BC351E"/>
    <w:rsid w:val="00BC3F77"/>
    <w:rsid w:val="00BC5635"/>
    <w:rsid w:val="00BC5675"/>
    <w:rsid w:val="00BD081C"/>
    <w:rsid w:val="00BD277B"/>
    <w:rsid w:val="00BD47CA"/>
    <w:rsid w:val="00BD62C7"/>
    <w:rsid w:val="00BE020D"/>
    <w:rsid w:val="00BE354A"/>
    <w:rsid w:val="00BF5EEF"/>
    <w:rsid w:val="00C02553"/>
    <w:rsid w:val="00C04EB6"/>
    <w:rsid w:val="00C056F9"/>
    <w:rsid w:val="00C07A7B"/>
    <w:rsid w:val="00C1018C"/>
    <w:rsid w:val="00C1150E"/>
    <w:rsid w:val="00C14D52"/>
    <w:rsid w:val="00C2586C"/>
    <w:rsid w:val="00C26001"/>
    <w:rsid w:val="00C34E72"/>
    <w:rsid w:val="00C4723C"/>
    <w:rsid w:val="00C56B1F"/>
    <w:rsid w:val="00C61B52"/>
    <w:rsid w:val="00C62745"/>
    <w:rsid w:val="00C654CA"/>
    <w:rsid w:val="00C763BD"/>
    <w:rsid w:val="00C779A8"/>
    <w:rsid w:val="00C82E19"/>
    <w:rsid w:val="00C91732"/>
    <w:rsid w:val="00C96873"/>
    <w:rsid w:val="00CA1735"/>
    <w:rsid w:val="00CA3C4B"/>
    <w:rsid w:val="00CA7252"/>
    <w:rsid w:val="00CB2C5A"/>
    <w:rsid w:val="00CB3BCD"/>
    <w:rsid w:val="00CD00E6"/>
    <w:rsid w:val="00CE0C1C"/>
    <w:rsid w:val="00CE34AF"/>
    <w:rsid w:val="00CF00A4"/>
    <w:rsid w:val="00CF25FB"/>
    <w:rsid w:val="00CF3AB8"/>
    <w:rsid w:val="00CF614C"/>
    <w:rsid w:val="00D02F34"/>
    <w:rsid w:val="00D13D87"/>
    <w:rsid w:val="00D163F0"/>
    <w:rsid w:val="00D16590"/>
    <w:rsid w:val="00D20720"/>
    <w:rsid w:val="00D232D9"/>
    <w:rsid w:val="00D250D9"/>
    <w:rsid w:val="00D27533"/>
    <w:rsid w:val="00D42DA3"/>
    <w:rsid w:val="00D4546D"/>
    <w:rsid w:val="00D47996"/>
    <w:rsid w:val="00D61118"/>
    <w:rsid w:val="00D614F1"/>
    <w:rsid w:val="00D67814"/>
    <w:rsid w:val="00D70D50"/>
    <w:rsid w:val="00D71917"/>
    <w:rsid w:val="00D813EB"/>
    <w:rsid w:val="00D95E68"/>
    <w:rsid w:val="00D969C4"/>
    <w:rsid w:val="00DA3A0F"/>
    <w:rsid w:val="00DA3EE1"/>
    <w:rsid w:val="00DA4E62"/>
    <w:rsid w:val="00DA6990"/>
    <w:rsid w:val="00DB27BA"/>
    <w:rsid w:val="00DB337A"/>
    <w:rsid w:val="00DC034A"/>
    <w:rsid w:val="00DC3D84"/>
    <w:rsid w:val="00DC51CB"/>
    <w:rsid w:val="00DD4819"/>
    <w:rsid w:val="00DD4B8A"/>
    <w:rsid w:val="00DD5403"/>
    <w:rsid w:val="00DE1388"/>
    <w:rsid w:val="00DE1B64"/>
    <w:rsid w:val="00DE2182"/>
    <w:rsid w:val="00DE7501"/>
    <w:rsid w:val="00DF3146"/>
    <w:rsid w:val="00DF57C3"/>
    <w:rsid w:val="00E008D9"/>
    <w:rsid w:val="00E02FE0"/>
    <w:rsid w:val="00E07ABE"/>
    <w:rsid w:val="00E11A3F"/>
    <w:rsid w:val="00E127BC"/>
    <w:rsid w:val="00E1386E"/>
    <w:rsid w:val="00E2369B"/>
    <w:rsid w:val="00E23EC0"/>
    <w:rsid w:val="00E354AA"/>
    <w:rsid w:val="00E43D54"/>
    <w:rsid w:val="00E442FB"/>
    <w:rsid w:val="00E529DB"/>
    <w:rsid w:val="00E53A5E"/>
    <w:rsid w:val="00E642C6"/>
    <w:rsid w:val="00E6466A"/>
    <w:rsid w:val="00E72221"/>
    <w:rsid w:val="00E7250C"/>
    <w:rsid w:val="00E83428"/>
    <w:rsid w:val="00E84C58"/>
    <w:rsid w:val="00E873A5"/>
    <w:rsid w:val="00E90D11"/>
    <w:rsid w:val="00E915E5"/>
    <w:rsid w:val="00EA0796"/>
    <w:rsid w:val="00EB0367"/>
    <w:rsid w:val="00EB4FB9"/>
    <w:rsid w:val="00EB5BC8"/>
    <w:rsid w:val="00EC2738"/>
    <w:rsid w:val="00ED7B42"/>
    <w:rsid w:val="00EE3EA5"/>
    <w:rsid w:val="00EE613F"/>
    <w:rsid w:val="00EE6BD1"/>
    <w:rsid w:val="00EF0262"/>
    <w:rsid w:val="00EF0828"/>
    <w:rsid w:val="00EF6F8B"/>
    <w:rsid w:val="00F03898"/>
    <w:rsid w:val="00F1527A"/>
    <w:rsid w:val="00F2696B"/>
    <w:rsid w:val="00F27821"/>
    <w:rsid w:val="00F4092A"/>
    <w:rsid w:val="00F41F69"/>
    <w:rsid w:val="00F43E41"/>
    <w:rsid w:val="00F4790C"/>
    <w:rsid w:val="00F50C4B"/>
    <w:rsid w:val="00F54C08"/>
    <w:rsid w:val="00F553A2"/>
    <w:rsid w:val="00F6068C"/>
    <w:rsid w:val="00F62F33"/>
    <w:rsid w:val="00F63A52"/>
    <w:rsid w:val="00F730BA"/>
    <w:rsid w:val="00F862CD"/>
    <w:rsid w:val="00F903BE"/>
    <w:rsid w:val="00F95D04"/>
    <w:rsid w:val="00FA16EC"/>
    <w:rsid w:val="00FA2811"/>
    <w:rsid w:val="00FA4837"/>
    <w:rsid w:val="00FB1D33"/>
    <w:rsid w:val="00FB5E96"/>
    <w:rsid w:val="00FC05A0"/>
    <w:rsid w:val="00FC2574"/>
    <w:rsid w:val="00FC6758"/>
    <w:rsid w:val="00FD34EA"/>
    <w:rsid w:val="00FD3820"/>
    <w:rsid w:val="00FE3F3E"/>
    <w:rsid w:val="00FE4D52"/>
    <w:rsid w:val="00FE5AEE"/>
    <w:rsid w:val="00FF106B"/>
    <w:rsid w:val="00FF3D39"/>
    <w:rsid w:val="15EB50BA"/>
    <w:rsid w:val="3EE5225B"/>
    <w:rsid w:val="57511CC9"/>
    <w:rsid w:val="5D8F8430"/>
    <w:rsid w:val="60B9B224"/>
    <w:rsid w:val="79C8556E"/>
    <w:rsid w:val="79EEA449"/>
    <w:rsid w:val="7A07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3BFD7"/>
  <w15:docId w15:val="{474DC3D9-3E32-46A9-B0F4-7115DB58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E3A"/>
    <w:rPr>
      <w:rFonts w:ascii="Arial" w:hAnsi="Arial"/>
      <w:szCs w:val="24"/>
    </w:rPr>
  </w:style>
  <w:style w:type="paragraph" w:styleId="Heading1">
    <w:name w:val="heading 1"/>
    <w:basedOn w:val="Title2"/>
    <w:next w:val="Normal"/>
    <w:link w:val="Heading1Char"/>
    <w:qFormat/>
    <w:rsid w:val="00E23EC0"/>
    <w:pPr>
      <w:framePr w:hSpace="0" w:wrap="auto" w:vAnchor="margin" w:xAlign="left" w:yAlign="inline"/>
      <w:jc w:val="center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D02F34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000099"/>
      <w:ind w:left="-187"/>
      <w:outlineLvl w:val="1"/>
    </w:pPr>
    <w:rPr>
      <w:rFonts w:cs="Arial"/>
      <w:b/>
      <w:spacing w:val="-3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Heading3">
    <w:name w:val="heading 3"/>
    <w:basedOn w:val="Normal"/>
    <w:next w:val="Normal"/>
    <w:qFormat/>
    <w:rsid w:val="00E23EC0"/>
    <w:pPr>
      <w:keepNext/>
      <w:outlineLvl w:val="2"/>
    </w:pPr>
    <w:rPr>
      <w:b/>
      <w:noProof/>
      <w:szCs w:val="20"/>
    </w:rPr>
  </w:style>
  <w:style w:type="paragraph" w:styleId="Heading4">
    <w:name w:val="heading 4"/>
    <w:basedOn w:val="Normal"/>
    <w:next w:val="Normal"/>
    <w:qFormat/>
    <w:rsid w:val="00E915E5"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rsid w:val="00B56DCC"/>
    <w:pPr>
      <w:keepNext/>
      <w:outlineLvl w:val="4"/>
    </w:pPr>
    <w:rPr>
      <w:bCs/>
      <w:spacing w:val="-3"/>
      <w:szCs w:val="20"/>
    </w:rPr>
  </w:style>
  <w:style w:type="paragraph" w:styleId="Heading6">
    <w:name w:val="heading 6"/>
    <w:basedOn w:val="Normal"/>
    <w:next w:val="Normal"/>
    <w:qFormat/>
    <w:rsid w:val="00E915E5"/>
    <w:pPr>
      <w:keepNext/>
      <w:ind w:left="-180"/>
      <w:jc w:val="center"/>
      <w:outlineLvl w:val="5"/>
    </w:pPr>
    <w:rPr>
      <w:b/>
      <w:bCs/>
      <w:sz w:val="22"/>
      <w:szCs w:val="20"/>
    </w:rPr>
  </w:style>
  <w:style w:type="paragraph" w:styleId="Heading9">
    <w:name w:val="heading 9"/>
    <w:basedOn w:val="Normal"/>
    <w:next w:val="Normal"/>
    <w:qFormat/>
    <w:rsid w:val="00E915E5"/>
    <w:pPr>
      <w:keepNext/>
      <w:outlineLvl w:val="8"/>
    </w:pPr>
    <w:rPr>
      <w:rFonts w:cs="Arial"/>
      <w:spacing w:val="-3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E915E5"/>
    <w:rPr>
      <w:szCs w:val="20"/>
    </w:rPr>
  </w:style>
  <w:style w:type="paragraph" w:styleId="Header">
    <w:name w:val="header"/>
    <w:basedOn w:val="Normal"/>
    <w:link w:val="HeaderChar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odyText2">
    <w:name w:val="Body Text 2"/>
    <w:basedOn w:val="Normal"/>
    <w:semiHidden/>
    <w:rsid w:val="00E915E5"/>
    <w:rPr>
      <w:rFonts w:cs="Arial"/>
      <w:szCs w:val="20"/>
    </w:rPr>
  </w:style>
  <w:style w:type="character" w:styleId="Hyperlink">
    <w:name w:val="Hyperlink"/>
    <w:basedOn w:val="DefaultParagraphFont"/>
    <w:rsid w:val="00E915E5"/>
    <w:rPr>
      <w:color w:val="0000FF"/>
      <w:u w:val="single"/>
    </w:rPr>
  </w:style>
  <w:style w:type="character" w:styleId="PageNumber">
    <w:name w:val="page number"/>
    <w:basedOn w:val="DefaultParagraphFont"/>
    <w:semiHidden/>
    <w:rsid w:val="00E915E5"/>
  </w:style>
  <w:style w:type="paragraph" w:styleId="Footer">
    <w:name w:val="footer"/>
    <w:aliases w:val="f"/>
    <w:basedOn w:val="Normal"/>
    <w:link w:val="FooterChar"/>
    <w:uiPriority w:val="99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A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28B2"/>
    <w:pPr>
      <w:numPr>
        <w:numId w:val="6"/>
      </w:numPr>
      <w:contextualSpacing/>
    </w:pPr>
  </w:style>
  <w:style w:type="table" w:styleId="TableGrid">
    <w:name w:val="Table Grid"/>
    <w:basedOn w:val="TableNormal"/>
    <w:uiPriority w:val="39"/>
    <w:rsid w:val="004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aliases w:val="f Char"/>
    <w:link w:val="Footer"/>
    <w:uiPriority w:val="99"/>
    <w:rsid w:val="000E231E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E53A5E"/>
    <w:pPr>
      <w:spacing w:before="100" w:beforeAutospacing="1" w:after="100" w:afterAutospacing="1"/>
    </w:pPr>
    <w:rPr>
      <w:rFonts w:eastAsiaTheme="minorEastAsia"/>
    </w:rPr>
  </w:style>
  <w:style w:type="table" w:styleId="TableGridLight">
    <w:name w:val="Grid Table Light"/>
    <w:basedOn w:val="TableNormal"/>
    <w:uiPriority w:val="40"/>
    <w:rsid w:val="006616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rsid w:val="000C3940"/>
    <w:pPr>
      <w:framePr w:hSpace="180" w:wrap="around" w:vAnchor="page" w:hAnchor="text" w:xAlign="center" w:y="2851"/>
      <w:suppressAutoHyphens/>
      <w:spacing w:after="60" w:line="820" w:lineRule="exact"/>
    </w:pPr>
    <w:rPr>
      <w:rFonts w:cs="Arial"/>
      <w:color w:val="2895D5"/>
      <w:sz w:val="76"/>
      <w:szCs w:val="66"/>
    </w:rPr>
  </w:style>
  <w:style w:type="character" w:customStyle="1" w:styleId="TitleChar">
    <w:name w:val="Title Char"/>
    <w:basedOn w:val="DefaultParagraphFont"/>
    <w:link w:val="Title"/>
    <w:rsid w:val="000C3940"/>
    <w:rPr>
      <w:rFonts w:ascii="Arial" w:hAnsi="Arial" w:cs="Arial"/>
      <w:color w:val="2895D5"/>
      <w:sz w:val="76"/>
      <w:szCs w:val="66"/>
    </w:rPr>
  </w:style>
  <w:style w:type="paragraph" w:customStyle="1" w:styleId="Title2">
    <w:name w:val="Title2"/>
    <w:basedOn w:val="Normal"/>
    <w:next w:val="Normal"/>
    <w:rsid w:val="000C3940"/>
    <w:pPr>
      <w:framePr w:hSpace="180" w:wrap="around" w:vAnchor="page" w:hAnchor="text" w:xAlign="center" w:y="2851"/>
      <w:suppressAutoHyphens/>
      <w:spacing w:after="60" w:line="520" w:lineRule="exact"/>
    </w:pPr>
    <w:rPr>
      <w:rFonts w:cs="Arial"/>
      <w:color w:val="595959"/>
      <w:sz w:val="46"/>
      <w:szCs w:val="66"/>
      <w:lang w:val="it-IT"/>
    </w:rPr>
  </w:style>
  <w:style w:type="paragraph" w:customStyle="1" w:styleId="theader">
    <w:name w:val="theader"/>
    <w:basedOn w:val="Normal"/>
    <w:rsid w:val="000C3940"/>
    <w:pPr>
      <w:tabs>
        <w:tab w:val="left" w:pos="2400"/>
      </w:tabs>
      <w:suppressAutoHyphens/>
      <w:spacing w:before="60" w:after="60" w:line="220" w:lineRule="exact"/>
    </w:pPr>
    <w:rPr>
      <w:b/>
      <w:color w:val="FFFFFF"/>
      <w:sz w:val="18"/>
      <w:szCs w:val="20"/>
    </w:rPr>
  </w:style>
  <w:style w:type="paragraph" w:customStyle="1" w:styleId="tbody">
    <w:name w:val="tbody"/>
    <w:basedOn w:val="Normal"/>
    <w:qFormat/>
    <w:rsid w:val="00D27533"/>
    <w:pPr>
      <w:suppressAutoHyphens/>
      <w:spacing w:before="60" w:after="60"/>
    </w:pPr>
    <w:rPr>
      <w:b/>
      <w:szCs w:val="20"/>
    </w:rPr>
  </w:style>
  <w:style w:type="paragraph" w:customStyle="1" w:styleId="Style1">
    <w:name w:val="Style1"/>
    <w:basedOn w:val="Heading2"/>
    <w:link w:val="Style1Char"/>
    <w:qFormat/>
    <w:rsid w:val="000913C3"/>
    <w:rPr>
      <w:sz w:val="28"/>
    </w:rPr>
  </w:style>
  <w:style w:type="character" w:customStyle="1" w:styleId="Heading2Char">
    <w:name w:val="Heading 2 Char"/>
    <w:basedOn w:val="DefaultParagraphFont"/>
    <w:link w:val="Heading2"/>
    <w:rsid w:val="00D02F34"/>
    <w:rPr>
      <w:rFonts w:ascii="Arial" w:hAnsi="Arial" w:cs="Arial"/>
      <w:b/>
      <w:color w:val="auto"/>
      <w:spacing w:val="-3"/>
      <w:sz w:val="24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Style1Char">
    <w:name w:val="Style1 Char"/>
    <w:basedOn w:val="Heading2Char"/>
    <w:link w:val="Style1"/>
    <w:rsid w:val="000913C3"/>
    <w:rPr>
      <w:rFonts w:ascii="Arial" w:hAnsi="Arial" w:cs="Arial"/>
      <w:b/>
      <w:color w:val="auto"/>
      <w:spacing w:val="-3"/>
      <w:sz w:val="28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normaltextrun">
    <w:name w:val="normaltextrun"/>
    <w:basedOn w:val="DefaultParagraphFont"/>
    <w:rsid w:val="00D71917"/>
  </w:style>
  <w:style w:type="character" w:customStyle="1" w:styleId="eop">
    <w:name w:val="eop"/>
    <w:basedOn w:val="DefaultParagraphFont"/>
    <w:rsid w:val="00D71917"/>
  </w:style>
  <w:style w:type="paragraph" w:customStyle="1" w:styleId="paragraph">
    <w:name w:val="paragraph"/>
    <w:basedOn w:val="Normal"/>
    <w:rsid w:val="00653788"/>
    <w:pPr>
      <w:spacing w:before="100" w:beforeAutospacing="1" w:after="100" w:afterAutospacing="1"/>
    </w:pPr>
  </w:style>
  <w:style w:type="paragraph" w:styleId="List2">
    <w:name w:val="List 2"/>
    <w:basedOn w:val="Normal"/>
    <w:rsid w:val="00A32452"/>
    <w:pPr>
      <w:ind w:left="720" w:hanging="360"/>
    </w:pPr>
  </w:style>
  <w:style w:type="character" w:styleId="Emphasis">
    <w:name w:val="Emphasis"/>
    <w:basedOn w:val="DefaultParagraphFont"/>
    <w:uiPriority w:val="20"/>
    <w:qFormat/>
    <w:rsid w:val="003C7013"/>
    <w:rPr>
      <w:i/>
      <w:iCs/>
    </w:rPr>
  </w:style>
  <w:style w:type="paragraph" w:styleId="ListBullet3">
    <w:name w:val="List Bullet 3"/>
    <w:basedOn w:val="Normal"/>
    <w:rsid w:val="00B52475"/>
    <w:pPr>
      <w:numPr>
        <w:numId w:val="1"/>
      </w:numPr>
    </w:pPr>
  </w:style>
  <w:style w:type="character" w:customStyle="1" w:styleId="HeaderChar">
    <w:name w:val="Header Char"/>
    <w:basedOn w:val="DefaultParagraphFont"/>
    <w:link w:val="Header"/>
    <w:rsid w:val="00F62F33"/>
    <w:rPr>
      <w:rFonts w:ascii="Arial" w:hAnsi="Arial"/>
      <w:sz w:val="22"/>
    </w:rPr>
  </w:style>
  <w:style w:type="numbering" w:customStyle="1" w:styleId="References">
    <w:name w:val="References"/>
    <w:basedOn w:val="NoList"/>
    <w:uiPriority w:val="99"/>
    <w:rsid w:val="00F95D04"/>
    <w:pPr>
      <w:numPr>
        <w:numId w:val="2"/>
      </w:numPr>
    </w:pPr>
  </w:style>
  <w:style w:type="numbering" w:customStyle="1" w:styleId="ListProposal">
    <w:name w:val="List Proposal"/>
    <w:basedOn w:val="NoList"/>
    <w:uiPriority w:val="99"/>
    <w:rsid w:val="003A630F"/>
    <w:pPr>
      <w:numPr>
        <w:numId w:val="4"/>
      </w:numPr>
    </w:pPr>
  </w:style>
  <w:style w:type="numbering" w:customStyle="1" w:styleId="ProposalCriteria">
    <w:name w:val="Proposal Criteria"/>
    <w:basedOn w:val="ListProposal"/>
    <w:uiPriority w:val="99"/>
    <w:rsid w:val="00D20720"/>
    <w:pPr>
      <w:numPr>
        <w:numId w:val="5"/>
      </w:numPr>
    </w:pPr>
  </w:style>
  <w:style w:type="paragraph" w:styleId="List">
    <w:name w:val="List"/>
    <w:basedOn w:val="Normal"/>
    <w:uiPriority w:val="99"/>
    <w:unhideWhenUsed/>
    <w:rsid w:val="005F0FCF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5F0FCF"/>
    <w:pPr>
      <w:numPr>
        <w:numId w:val="7"/>
      </w:numPr>
      <w:contextualSpacing/>
    </w:pPr>
  </w:style>
  <w:style w:type="numbering" w:customStyle="1" w:styleId="ProposalCriteria2">
    <w:name w:val="Proposal Criteria 2"/>
    <w:basedOn w:val="ListProposal"/>
    <w:uiPriority w:val="99"/>
    <w:rsid w:val="0015636A"/>
    <w:pPr>
      <w:numPr>
        <w:numId w:val="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5A423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B3958"/>
    <w:rPr>
      <w:rFonts w:ascii="Arial" w:eastAsia="Arial" w:hAnsi="Arial"/>
      <w:sz w:val="22"/>
      <w:szCs w:val="22"/>
    </w:rPr>
  </w:style>
  <w:style w:type="paragraph" w:styleId="ListBullet2">
    <w:name w:val="List Bullet 2"/>
    <w:basedOn w:val="Normal"/>
    <w:rsid w:val="001E4CBA"/>
    <w:pPr>
      <w:numPr>
        <w:numId w:val="11"/>
      </w:numPr>
      <w:tabs>
        <w:tab w:val="clear" w:pos="720"/>
      </w:tabs>
      <w:ind w:left="0" w:firstLine="0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9F518A"/>
    <w:rPr>
      <w:rFonts w:ascii="Arial" w:hAnsi="Arial" w:cs="Arial"/>
      <w:b/>
      <w:color w:val="595959"/>
      <w:sz w:val="40"/>
      <w:szCs w:val="40"/>
      <w:lang w:val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A849F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9F8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A849F8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9F8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7335B6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DC7DF98B8BA4EA314349B5720FCC5" ma:contentTypeVersion="14" ma:contentTypeDescription="Create a new document." ma:contentTypeScope="" ma:versionID="c626da6d0afa7058de7cd05ed520ec03">
  <xsd:schema xmlns:xsd="http://www.w3.org/2001/XMLSchema" xmlns:xs="http://www.w3.org/2001/XMLSchema" xmlns:p="http://schemas.microsoft.com/office/2006/metadata/properties" xmlns:ns1="http://schemas.microsoft.com/sharepoint/v3" xmlns:ns2="aba01ddc-ae9a-4c9e-819c-7140b4239cde" xmlns:ns3="f5eefb00-5952-4f7e-8cf8-96f81cfadd01" targetNamespace="http://schemas.microsoft.com/office/2006/metadata/properties" ma:root="true" ma:fieldsID="81c9995cbbe671f8198193bc0cf7741c" ns1:_="" ns2:_="" ns3:_="">
    <xsd:import namespace="http://schemas.microsoft.com/sharepoint/v3"/>
    <xsd:import namespace="aba01ddc-ae9a-4c9e-819c-7140b4239cde"/>
    <xsd:import namespace="f5eefb00-5952-4f7e-8cf8-96f81cfad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01ddc-ae9a-4c9e-819c-7140b4239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b9d60a-532b-456f-bc59-f515255dc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efb00-5952-4f7e-8cf8-96f81cfadd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6737BE-2F73-408C-A12D-12E22498BD92}" ma:internalName="TaxCatchAll" ma:showField="CatchAllData" ma:web="{a1603744-bc25-4bc5-9997-e689a712d7a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5eefb00-5952-4f7e-8cf8-96f81cfadd01" xsi:nil="true"/>
    <lcf76f155ced4ddcb4097134ff3c332f xmlns="aba01ddc-ae9a-4c9e-819c-7140b4239c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443CD0-BAC0-4286-8661-ED5329119F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39153C-6C98-4F71-850E-F854570ADB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8DA3C7-75CC-49DD-BE8D-AAF2AA4C3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a01ddc-ae9a-4c9e-819c-7140b4239cde"/>
    <ds:schemaRef ds:uri="f5eefb00-5952-4f7e-8cf8-96f81cfad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9992BC-7C11-4A83-A97F-D2E41AE80BFC}">
  <ds:schemaRefs>
    <ds:schemaRef ds:uri="f5eefb00-5952-4f7e-8cf8-96f81cfadd01"/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aba01ddc-ae9a-4c9e-819c-7140b4239cde"/>
    <ds:schemaRef ds:uri="http://schemas.microsoft.com/office/infopath/2007/PartnerControls"/>
    <ds:schemaRef ds:uri="http://schemas.microsoft.com/sharepoint/v3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1aed4588-b8ce-43a8-a775-989538fd30d8}" enabled="0" method="" siteId="{1aed4588-b8ce-43a8-a775-989538fd30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973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PDL Edit Template</vt:lpstr>
    </vt:vector>
  </TitlesOfParts>
  <Company>DSS</Company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Anti-Amyloid Monoclonal Antibody Clinical Edit</dc:title>
  <dc:creator>DMS</dc:creator>
  <cp:lastModifiedBy>Dolan, John</cp:lastModifiedBy>
  <cp:revision>66</cp:revision>
  <cp:lastPrinted>2018-10-31T20:17:00Z</cp:lastPrinted>
  <dcterms:created xsi:type="dcterms:W3CDTF">2025-11-19T17:39:00Z</dcterms:created>
  <dcterms:modified xsi:type="dcterms:W3CDTF">2025-12-17T18:54:00Z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0x010100DC0DC7DF98B8BA4EA314349B5720FCC5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