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79DA6E32" w:rsidR="004C5767" w:rsidRPr="00D535CA" w:rsidRDefault="004C5767" w:rsidP="00D27533">
      <w:pPr>
        <w:pStyle w:val="tbody"/>
        <w:rPr>
          <w:b w:val="0"/>
          <w:bCs/>
        </w:rPr>
      </w:pPr>
      <w:r w:rsidRPr="00C02553">
        <w:t>Drug/Drug Class:</w:t>
      </w:r>
      <w:r w:rsidR="003B4820">
        <w:t xml:space="preserve"> </w:t>
      </w:r>
      <w:r w:rsidR="00D535CA" w:rsidRPr="00D535CA">
        <w:rPr>
          <w:b w:val="0"/>
          <w:bCs/>
        </w:rPr>
        <w:t>Alzheimer’s Agents, Acetylcholinesterase Inhibitors, N-Methyl-D-Aspartate Receptor Antagonists &amp; Combinations PDL Edit</w:t>
      </w:r>
    </w:p>
    <w:p w14:paraId="7AD7FFCE" w14:textId="190AC277" w:rsidR="004C5767" w:rsidRPr="00073744" w:rsidRDefault="004C5767" w:rsidP="00D27533">
      <w:pPr>
        <w:pStyle w:val="tbody"/>
        <w:rPr>
          <w:b w:val="0"/>
          <w:bCs/>
        </w:rPr>
      </w:pPr>
      <w:r w:rsidRPr="00C02553">
        <w:t xml:space="preserve">First Implementation Date: </w:t>
      </w:r>
      <w:r w:rsidR="00073744" w:rsidRPr="00073744">
        <w:rPr>
          <w:b w:val="0"/>
          <w:bCs/>
        </w:rPr>
        <w:t>May 21, 2008</w:t>
      </w:r>
    </w:p>
    <w:p w14:paraId="4B7D760D" w14:textId="1A76145A" w:rsidR="004C5767" w:rsidRPr="00D27533" w:rsidRDefault="00F41F69" w:rsidP="00D27533">
      <w:pPr>
        <w:pStyle w:val="tbody"/>
        <w:rPr>
          <w:b w:val="0"/>
          <w:bCs/>
        </w:rPr>
      </w:pPr>
      <w:r>
        <w:t>Propo</w:t>
      </w:r>
      <w:r w:rsidR="004C5767" w:rsidRPr="00C02553">
        <w:t>sed Date:</w:t>
      </w:r>
      <w:r w:rsidR="00065C22">
        <w:t xml:space="preserve"> </w:t>
      </w:r>
      <w:r w:rsidR="00073744" w:rsidRPr="00E50CD2">
        <w:rPr>
          <w:b w:val="0"/>
          <w:bCs/>
        </w:rPr>
        <w:t xml:space="preserve">January </w:t>
      </w:r>
      <w:r w:rsidR="00E50CD2" w:rsidRPr="00E50CD2">
        <w:rPr>
          <w:b w:val="0"/>
          <w:bCs/>
        </w:rPr>
        <w:t>20</w:t>
      </w:r>
      <w:r w:rsidR="00073744" w:rsidRPr="00E50CD2">
        <w:rPr>
          <w:b w:val="0"/>
          <w:bCs/>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63D767F" w:rsidR="004C5767" w:rsidRPr="00D27533" w:rsidRDefault="004C5767" w:rsidP="00D27533">
      <w:pPr>
        <w:pStyle w:val="tbody"/>
        <w:rPr>
          <w:b w:val="0"/>
          <w:bCs/>
          <w:spacing w:val="-3"/>
        </w:rPr>
      </w:pPr>
      <w:r w:rsidRPr="00C02553">
        <w:t xml:space="preserve">Criteria Status: </w:t>
      </w:r>
      <w:r w:rsidR="00EC1D21" w:rsidRPr="00803FC9">
        <w:rPr>
          <w:b w:val="0"/>
          <w:bCs/>
        </w:rPr>
        <w:t>Revision of</w:t>
      </w:r>
      <w:r w:rsidR="00EC1D21">
        <w:t xml:space="preserve"> </w:t>
      </w:r>
      <w:r w:rsidR="00566BE4" w:rsidRPr="00C64090">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C70B272" w14:textId="77777777" w:rsidR="00223B3D" w:rsidRDefault="00223B3D" w:rsidP="00223B3D">
      <w:pPr>
        <w:pStyle w:val="Header"/>
        <w:tabs>
          <w:tab w:val="clear" w:pos="4320"/>
          <w:tab w:val="clear" w:pos="8640"/>
        </w:tabs>
        <w:rPr>
          <w:rFonts w:cs="Arial"/>
          <w:sz w:val="20"/>
        </w:rPr>
      </w:pPr>
      <w:r w:rsidRPr="5B80947D">
        <w:rPr>
          <w:rFonts w:cs="Arial"/>
          <w:sz w:val="20"/>
        </w:rPr>
        <w:t>Alzheimer's Disease (AD) is the most common cause of dementia, accounting for 60 to 70 percent of dementia disorders in the elderly.  AD is characterized by progressive cognitive decline associated with impairment of activities of daily living and behavioral disturbances.  Patients with AD eventually lose all cognitive, analytical</w:t>
      </w:r>
      <w:r>
        <w:rPr>
          <w:rFonts w:cs="Arial"/>
          <w:sz w:val="20"/>
        </w:rPr>
        <w:t>,</w:t>
      </w:r>
      <w:r w:rsidRPr="5B80947D">
        <w:rPr>
          <w:rFonts w:cs="Arial"/>
          <w:sz w:val="20"/>
        </w:rPr>
        <w:t xml:space="preserve"> and physical functioning.  Although the causes of AD have not been completely identified, the etiology of the disease is thought to be multifactorial.  The discovery of vast cholinergic cell loss has led to the cholinergic hypothesis and the development of drugs that target the cholinergic system.  The cholinergic hypothesis suggests that a dysfunction of acetylcholine (ACh)-containing neurons in the brain plays a large </w:t>
      </w:r>
      <w:r>
        <w:rPr>
          <w:rFonts w:cs="Arial"/>
          <w:sz w:val="20"/>
        </w:rPr>
        <w:t>role</w:t>
      </w:r>
      <w:r w:rsidRPr="5B80947D">
        <w:rPr>
          <w:rFonts w:cs="Arial"/>
          <w:sz w:val="20"/>
        </w:rPr>
        <w:t xml:space="preserve"> in the decline of cognitive function seen in patients with AD.  The degree of cognitive impairment is related to the amount of cholinergic loss and the density of extracellular amyloid plaques.  These </w:t>
      </w:r>
      <w:proofErr w:type="gramStart"/>
      <w:r w:rsidRPr="5B80947D">
        <w:rPr>
          <w:rFonts w:cs="Arial"/>
          <w:sz w:val="20"/>
        </w:rPr>
        <w:t>plaques</w:t>
      </w:r>
      <w:proofErr w:type="gramEnd"/>
      <w:r w:rsidRPr="5B80947D">
        <w:rPr>
          <w:rFonts w:cs="Arial"/>
          <w:sz w:val="20"/>
        </w:rPr>
        <w:t xml:space="preserve"> significantly interfere with neuronal transmission.  </w:t>
      </w:r>
    </w:p>
    <w:p w14:paraId="0A7AAF83" w14:textId="77777777" w:rsidR="00223B3D" w:rsidRDefault="00223B3D" w:rsidP="00223B3D">
      <w:pPr>
        <w:pStyle w:val="Header"/>
        <w:tabs>
          <w:tab w:val="clear" w:pos="4320"/>
          <w:tab w:val="clear" w:pos="8640"/>
        </w:tabs>
        <w:rPr>
          <w:rFonts w:cs="Arial"/>
          <w:sz w:val="20"/>
        </w:rPr>
      </w:pPr>
    </w:p>
    <w:p w14:paraId="1FABDDE1" w14:textId="77777777" w:rsidR="00223B3D" w:rsidRDefault="00223B3D" w:rsidP="00223B3D">
      <w:pPr>
        <w:pStyle w:val="Header"/>
        <w:tabs>
          <w:tab w:val="clear" w:pos="4320"/>
          <w:tab w:val="clear" w:pos="8640"/>
        </w:tabs>
        <w:rPr>
          <w:rFonts w:cs="Arial"/>
          <w:sz w:val="20"/>
        </w:rPr>
      </w:pPr>
      <w:r w:rsidRPr="5B80947D">
        <w:rPr>
          <w:rFonts w:cs="Arial"/>
          <w:sz w:val="20"/>
        </w:rPr>
        <w:t xml:space="preserve">Acetylcholinesterase inhibitors (AChEIs) exert their therapeutic effect by enhancing cholinergic function by increasing the concentration of ACh through reversible inhibition of its hydrolysis by AChE.  The resulting ACh improves cognition. Glutamate, the primary excitatory amino acid in the </w:t>
      </w:r>
      <w:r>
        <w:rPr>
          <w:rFonts w:cs="Arial"/>
          <w:sz w:val="20"/>
        </w:rPr>
        <w:t>central nervous system</w:t>
      </w:r>
      <w:r w:rsidRPr="5B80947D">
        <w:rPr>
          <w:rFonts w:cs="Arial"/>
          <w:sz w:val="20"/>
        </w:rPr>
        <w:t>, may contribute to the pathogenesis of AD by overstimulating various glutamate receptors leading to excitotoxicity and neuronal cell death. N-</w:t>
      </w:r>
      <w:r>
        <w:rPr>
          <w:rFonts w:cs="Arial"/>
          <w:sz w:val="20"/>
        </w:rPr>
        <w:t>m</w:t>
      </w:r>
      <w:r w:rsidRPr="5B80947D">
        <w:rPr>
          <w:rFonts w:cs="Arial"/>
          <w:sz w:val="20"/>
        </w:rPr>
        <w:t>ethyl-D-</w:t>
      </w:r>
      <w:r>
        <w:rPr>
          <w:rFonts w:cs="Arial"/>
          <w:sz w:val="20"/>
        </w:rPr>
        <w:t>a</w:t>
      </w:r>
      <w:r w:rsidRPr="5B80947D">
        <w:rPr>
          <w:rFonts w:cs="Arial"/>
          <w:sz w:val="20"/>
        </w:rPr>
        <w:t xml:space="preserve">spartate (NMDA) </w:t>
      </w:r>
      <w:r>
        <w:rPr>
          <w:rFonts w:cs="Arial"/>
          <w:sz w:val="20"/>
        </w:rPr>
        <w:t>r</w:t>
      </w:r>
      <w:r w:rsidRPr="5B80947D">
        <w:rPr>
          <w:rFonts w:cs="Arial"/>
          <w:sz w:val="20"/>
        </w:rPr>
        <w:t xml:space="preserve">eceptor </w:t>
      </w:r>
      <w:r>
        <w:rPr>
          <w:rFonts w:cs="Arial"/>
          <w:sz w:val="20"/>
        </w:rPr>
        <w:t>a</w:t>
      </w:r>
      <w:r w:rsidRPr="5B80947D">
        <w:rPr>
          <w:rFonts w:cs="Arial"/>
          <w:sz w:val="20"/>
        </w:rPr>
        <w:t>ntagonists, such as memantine, are uncompetitive antagonists of the NMDA type of glutamate receptors.</w:t>
      </w:r>
      <w:r>
        <w:br/>
      </w:r>
    </w:p>
    <w:p w14:paraId="1F6BB770" w14:textId="6D0BDD7A" w:rsidR="00223B3D" w:rsidRDefault="00223B3D" w:rsidP="00223B3D">
      <w:pPr>
        <w:pStyle w:val="Header"/>
        <w:tabs>
          <w:tab w:val="clear" w:pos="4320"/>
          <w:tab w:val="clear" w:pos="8640"/>
        </w:tabs>
        <w:rPr>
          <w:rFonts w:cs="Arial"/>
          <w:sz w:val="20"/>
        </w:rPr>
      </w:pPr>
      <w:r>
        <w:rPr>
          <w:rFonts w:cs="Arial"/>
          <w:sz w:val="20"/>
        </w:rPr>
        <w:t>Leqembi</w:t>
      </w:r>
      <w:r w:rsidRPr="0055426D">
        <w:rPr>
          <w:rFonts w:cs="Arial"/>
          <w:sz w:val="20"/>
          <w:vertAlign w:val="superscript"/>
        </w:rPr>
        <w:t>®</w:t>
      </w:r>
      <w:r>
        <w:rPr>
          <w:rFonts w:cs="Arial"/>
          <w:sz w:val="20"/>
        </w:rPr>
        <w:t xml:space="preserve"> and Kisunla™ are</w:t>
      </w:r>
      <w:r w:rsidRPr="0059708E">
        <w:rPr>
          <w:rFonts w:cs="Arial"/>
          <w:sz w:val="20"/>
        </w:rPr>
        <w:t xml:space="preserve"> intravenously administered amyloid beta-directed antibod</w:t>
      </w:r>
      <w:r>
        <w:rPr>
          <w:rFonts w:cs="Arial"/>
          <w:sz w:val="20"/>
        </w:rPr>
        <w:t xml:space="preserve">ies indicated for treatment of early AD. </w:t>
      </w:r>
      <w:r w:rsidRPr="0059708E">
        <w:rPr>
          <w:rFonts w:cs="Arial"/>
          <w:sz w:val="20"/>
        </w:rPr>
        <w:t xml:space="preserve">Criteria for </w:t>
      </w:r>
      <w:r>
        <w:rPr>
          <w:rFonts w:cs="Arial"/>
          <w:sz w:val="20"/>
        </w:rPr>
        <w:t>their</w:t>
      </w:r>
      <w:r w:rsidRPr="0059708E">
        <w:rPr>
          <w:rFonts w:cs="Arial"/>
          <w:sz w:val="20"/>
        </w:rPr>
        <w:t xml:space="preserve"> approval can be found within the </w:t>
      </w:r>
      <w:r>
        <w:rPr>
          <w:rFonts w:cs="Arial"/>
          <w:sz w:val="20"/>
        </w:rPr>
        <w:t>Anti-Amyloid Monoclonal Antibody</w:t>
      </w:r>
      <w:r w:rsidRPr="0059708E">
        <w:rPr>
          <w:rFonts w:cs="Arial"/>
          <w:sz w:val="20"/>
        </w:rPr>
        <w:t xml:space="preserve"> Clinical Edit</w:t>
      </w:r>
      <w:r w:rsidR="00EC1D21">
        <w:rPr>
          <w:rFonts w:cs="Arial"/>
          <w:sz w:val="20"/>
        </w:rPr>
        <w:t xml:space="preserve">, located here: </w:t>
      </w:r>
      <w:hyperlink r:id="rId11" w:history="1">
        <w:r w:rsidR="00EC1D21" w:rsidRPr="00EC1D21">
          <w:rPr>
            <w:rStyle w:val="Hyperlink"/>
            <w:rFonts w:cs="Arial"/>
            <w:sz w:val="20"/>
          </w:rPr>
          <w:t>Pharmacy Clinical Edits and Preferred Drug Lists | mydss.mo.gov</w:t>
        </w:r>
      </w:hyperlink>
      <w:r>
        <w:rPr>
          <w:rFonts w:cs="Arial"/>
          <w:sz w:val="20"/>
        </w:rPr>
        <w:t>.</w:t>
      </w:r>
    </w:p>
    <w:p w14:paraId="02690E18" w14:textId="77777777" w:rsidR="00223B3D" w:rsidRPr="00E32209" w:rsidRDefault="00223B3D" w:rsidP="00223B3D">
      <w:pPr>
        <w:pStyle w:val="Header"/>
        <w:tabs>
          <w:tab w:val="clear" w:pos="4320"/>
          <w:tab w:val="clear" w:pos="8640"/>
        </w:tabs>
        <w:rPr>
          <w:rFonts w:cs="Arial"/>
          <w:sz w:val="20"/>
        </w:rPr>
      </w:pPr>
    </w:p>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31FECB4C" w14:textId="77777777" w:rsidR="00EE1743" w:rsidRDefault="00EE1743" w:rsidP="00EE1743">
      <w:pPr>
        <w:pStyle w:val="ListParagraph"/>
        <w:numPr>
          <w:ilvl w:val="0"/>
          <w:numId w:val="15"/>
        </w:numPr>
        <w:ind w:left="360"/>
      </w:pPr>
      <w:r>
        <w:t>Donepezil ODT</w:t>
      </w:r>
    </w:p>
    <w:p w14:paraId="16C9EFDD" w14:textId="77777777" w:rsidR="00EE1743" w:rsidRDefault="00EE1743" w:rsidP="00EE1743">
      <w:pPr>
        <w:pStyle w:val="ListParagraph"/>
        <w:numPr>
          <w:ilvl w:val="0"/>
          <w:numId w:val="15"/>
        </w:numPr>
        <w:ind w:left="360"/>
      </w:pPr>
      <w:r>
        <w:t>Donepezil 5, 10 mg Tabs</w:t>
      </w:r>
    </w:p>
    <w:p w14:paraId="5C03AF2D" w14:textId="77777777" w:rsidR="00EE1743" w:rsidRDefault="00EE1743" w:rsidP="00EE1743">
      <w:pPr>
        <w:pStyle w:val="ListParagraph"/>
        <w:numPr>
          <w:ilvl w:val="0"/>
          <w:numId w:val="15"/>
        </w:numPr>
        <w:ind w:left="360"/>
      </w:pPr>
      <w:r>
        <w:t>Memantine Tabs</w:t>
      </w:r>
    </w:p>
    <w:p w14:paraId="47320590" w14:textId="14642C8A" w:rsidR="00FD34EA" w:rsidRPr="00EE1743" w:rsidRDefault="00EE1743" w:rsidP="00EE1743">
      <w:pPr>
        <w:pStyle w:val="ListParagraph"/>
        <w:numPr>
          <w:ilvl w:val="0"/>
          <w:numId w:val="15"/>
        </w:numPr>
        <w:ind w:left="360"/>
        <w:rPr>
          <w:rFonts w:cs="Arial"/>
          <w:szCs w:val="20"/>
        </w:rPr>
      </w:pPr>
      <w:r>
        <w:t>Rivastigmine Patch</w:t>
      </w:r>
    </w:p>
    <w:p w14:paraId="2E8A2CBD" w14:textId="77777777" w:rsidR="005F74E2" w:rsidRDefault="005F74E2" w:rsidP="00846FA4">
      <w:pPr>
        <w:rPr>
          <w:b/>
          <w:bCs/>
        </w:rPr>
      </w:pPr>
    </w:p>
    <w:p w14:paraId="56404718" w14:textId="7138E3DB" w:rsidR="00846FA4" w:rsidRDefault="00846FA4" w:rsidP="00846FA4">
      <w:pPr>
        <w:rPr>
          <w:b/>
          <w:bCs/>
        </w:rPr>
      </w:pPr>
      <w:r>
        <w:rPr>
          <w:b/>
          <w:bCs/>
        </w:rPr>
        <w:t>Non-Preferred Agents:</w:t>
      </w:r>
    </w:p>
    <w:p w14:paraId="5836C476" w14:textId="49FCF1B1" w:rsidR="00F649BB" w:rsidRDefault="00F649BB" w:rsidP="00F649BB">
      <w:pPr>
        <w:pStyle w:val="ListParagraph"/>
        <w:numPr>
          <w:ilvl w:val="0"/>
          <w:numId w:val="16"/>
        </w:numPr>
        <w:ind w:left="360"/>
      </w:pPr>
      <w:r>
        <w:t>Adlarity</w:t>
      </w:r>
      <w:r w:rsidR="00F978BD" w:rsidRPr="00F978BD">
        <w:rPr>
          <w:vertAlign w:val="superscript"/>
        </w:rPr>
        <w:t>®</w:t>
      </w:r>
    </w:p>
    <w:p w14:paraId="481BB6C9" w14:textId="172B5029" w:rsidR="00F649BB" w:rsidRDefault="00F649BB" w:rsidP="00F649BB">
      <w:pPr>
        <w:pStyle w:val="ListParagraph"/>
        <w:numPr>
          <w:ilvl w:val="0"/>
          <w:numId w:val="16"/>
        </w:numPr>
        <w:ind w:left="360"/>
      </w:pPr>
      <w:r>
        <w:t>Aricept</w:t>
      </w:r>
      <w:r w:rsidR="00F978BD" w:rsidRPr="00F978BD">
        <w:rPr>
          <w:vertAlign w:val="superscript"/>
        </w:rPr>
        <w:t>®</w:t>
      </w:r>
    </w:p>
    <w:p w14:paraId="6A4027A4" w14:textId="77777777" w:rsidR="00F649BB" w:rsidRDefault="00F649BB" w:rsidP="00F649BB">
      <w:pPr>
        <w:pStyle w:val="ListParagraph"/>
        <w:numPr>
          <w:ilvl w:val="0"/>
          <w:numId w:val="16"/>
        </w:numPr>
        <w:ind w:left="360"/>
      </w:pPr>
      <w:r>
        <w:t>Donepezil 23 mg Tabs</w:t>
      </w:r>
    </w:p>
    <w:p w14:paraId="3A3DAAA0" w14:textId="0D7D781D" w:rsidR="00F649BB" w:rsidRDefault="00F649BB" w:rsidP="00F649BB">
      <w:pPr>
        <w:pStyle w:val="ListParagraph"/>
        <w:numPr>
          <w:ilvl w:val="0"/>
          <w:numId w:val="16"/>
        </w:numPr>
        <w:ind w:left="360"/>
      </w:pPr>
      <w:r>
        <w:lastRenderedPageBreak/>
        <w:t>Exelon</w:t>
      </w:r>
      <w:r w:rsidR="00F978BD" w:rsidRPr="00F978BD">
        <w:rPr>
          <w:vertAlign w:val="superscript"/>
        </w:rPr>
        <w:t>®</w:t>
      </w:r>
      <w:r>
        <w:t xml:space="preserve"> Patch</w:t>
      </w:r>
    </w:p>
    <w:p w14:paraId="6AC7931D" w14:textId="77777777" w:rsidR="00F649BB" w:rsidRDefault="00F649BB" w:rsidP="00F649BB">
      <w:pPr>
        <w:pStyle w:val="ListParagraph"/>
        <w:numPr>
          <w:ilvl w:val="0"/>
          <w:numId w:val="16"/>
        </w:numPr>
        <w:ind w:left="360"/>
      </w:pPr>
      <w:r>
        <w:t>Galantamine Soln/Tabs</w:t>
      </w:r>
    </w:p>
    <w:p w14:paraId="0563BB52" w14:textId="77777777" w:rsidR="00F649BB" w:rsidRDefault="00F649BB" w:rsidP="00F649BB">
      <w:pPr>
        <w:pStyle w:val="ListParagraph"/>
        <w:numPr>
          <w:ilvl w:val="0"/>
          <w:numId w:val="16"/>
        </w:numPr>
        <w:ind w:left="360"/>
      </w:pPr>
      <w:r>
        <w:t xml:space="preserve">Galantamine ER </w:t>
      </w:r>
    </w:p>
    <w:p w14:paraId="5E15EEF6" w14:textId="77777777" w:rsidR="00F649BB" w:rsidRDefault="00F649BB" w:rsidP="00F649BB">
      <w:pPr>
        <w:pStyle w:val="ListParagraph"/>
        <w:numPr>
          <w:ilvl w:val="0"/>
          <w:numId w:val="16"/>
        </w:numPr>
        <w:ind w:left="360"/>
      </w:pPr>
      <w:r>
        <w:t>Memantine Soln</w:t>
      </w:r>
    </w:p>
    <w:p w14:paraId="0A7D39B9" w14:textId="77777777" w:rsidR="00F649BB" w:rsidRDefault="00F649BB" w:rsidP="00F649BB">
      <w:pPr>
        <w:pStyle w:val="ListParagraph"/>
        <w:numPr>
          <w:ilvl w:val="0"/>
          <w:numId w:val="16"/>
        </w:numPr>
        <w:ind w:left="360"/>
      </w:pPr>
      <w:r>
        <w:t xml:space="preserve">Memantine ER </w:t>
      </w:r>
    </w:p>
    <w:p w14:paraId="06BC04B5" w14:textId="6A122F3D" w:rsidR="00CE29D7" w:rsidRPr="00CE29D7" w:rsidRDefault="00CE29D7" w:rsidP="791173A9">
      <w:pPr>
        <w:pStyle w:val="ListParagraph"/>
        <w:rPr>
          <w:b/>
          <w:bCs/>
          <w:color w:val="1F497D" w:themeColor="text2"/>
        </w:rPr>
      </w:pPr>
      <w:r w:rsidRPr="791173A9">
        <w:rPr>
          <w:b/>
          <w:bCs/>
          <w:color w:val="1F497D" w:themeColor="text2"/>
        </w:rPr>
        <w:t>Memantine/Donepezil</w:t>
      </w:r>
    </w:p>
    <w:p w14:paraId="011C2655" w14:textId="67140977" w:rsidR="00F649BB" w:rsidRDefault="00F649BB" w:rsidP="00F649BB">
      <w:pPr>
        <w:pStyle w:val="ListParagraph"/>
        <w:numPr>
          <w:ilvl w:val="0"/>
          <w:numId w:val="16"/>
        </w:numPr>
        <w:ind w:left="360"/>
      </w:pPr>
      <w:r>
        <w:t>Namenda XR</w:t>
      </w:r>
      <w:r w:rsidR="00F978BD" w:rsidRPr="00F978BD">
        <w:rPr>
          <w:vertAlign w:val="superscript"/>
        </w:rPr>
        <w:t>®</w:t>
      </w:r>
    </w:p>
    <w:p w14:paraId="2FF7403B" w14:textId="5D31DC5D" w:rsidR="00F649BB" w:rsidRDefault="00F649BB" w:rsidP="00F649BB">
      <w:pPr>
        <w:pStyle w:val="ListParagraph"/>
        <w:numPr>
          <w:ilvl w:val="0"/>
          <w:numId w:val="16"/>
        </w:numPr>
        <w:ind w:left="360"/>
      </w:pPr>
      <w:r>
        <w:t>Namzaric</w:t>
      </w:r>
      <w:r w:rsidR="00F978BD" w:rsidRPr="00F978BD">
        <w:rPr>
          <w:vertAlign w:val="superscript"/>
        </w:rPr>
        <w:t>®</w:t>
      </w:r>
      <w:r>
        <w:t xml:space="preserve"> </w:t>
      </w:r>
    </w:p>
    <w:p w14:paraId="6D696800" w14:textId="3B67D780" w:rsidR="00E23EC0" w:rsidRPr="003D2585" w:rsidRDefault="00F649BB" w:rsidP="00F649BB">
      <w:pPr>
        <w:pStyle w:val="ListParagraph"/>
        <w:numPr>
          <w:ilvl w:val="0"/>
          <w:numId w:val="16"/>
        </w:numPr>
        <w:ind w:left="360"/>
        <w:rPr>
          <w:rFonts w:cs="Arial"/>
          <w:spacing w:val="-3"/>
          <w:szCs w:val="20"/>
        </w:rPr>
      </w:pPr>
      <w:r>
        <w:t>Rivastigmine Caps</w:t>
      </w:r>
    </w:p>
    <w:p w14:paraId="075E6CF0" w14:textId="55F84ED2" w:rsidR="003D2585" w:rsidRPr="00E1327C" w:rsidRDefault="003D2585" w:rsidP="00F649BB">
      <w:pPr>
        <w:pStyle w:val="ListParagraph"/>
        <w:numPr>
          <w:ilvl w:val="0"/>
          <w:numId w:val="16"/>
        </w:numPr>
        <w:ind w:left="360"/>
        <w:rPr>
          <w:rFonts w:cs="Arial"/>
          <w:b/>
          <w:bCs/>
          <w:color w:val="1F497D" w:themeColor="text2"/>
          <w:spacing w:val="-3"/>
          <w:szCs w:val="20"/>
        </w:rPr>
      </w:pPr>
      <w:r w:rsidRPr="00E1327C">
        <w:rPr>
          <w:b/>
          <w:bCs/>
          <w:color w:val="1F497D" w:themeColor="text2"/>
        </w:rPr>
        <w:t>Zunveyl</w:t>
      </w:r>
      <w:r w:rsidR="00ED012D" w:rsidRPr="00ED012D">
        <w:rPr>
          <w:b/>
          <w:bCs/>
          <w:color w:val="1F497D" w:themeColor="text2"/>
          <w:vertAlign w:val="superscript"/>
        </w:rPr>
        <w:t>®</w:t>
      </w:r>
      <w:r w:rsidRPr="00E1327C">
        <w:rPr>
          <w:b/>
          <w:bCs/>
          <w:color w:val="1F497D" w:themeColor="text2"/>
        </w:rPr>
        <w:t xml:space="preserve"> </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DD6E20E" w:rsidR="0097028A" w:rsidRPr="0079438F" w:rsidRDefault="0097028A" w:rsidP="00696E3A">
      <w:pPr>
        <w:rPr>
          <w:b/>
        </w:rPr>
      </w:pPr>
      <w:r w:rsidRPr="00696E3A">
        <w:rPr>
          <w:b/>
          <w:bCs/>
        </w:rPr>
        <w:t>Drug class for review:</w:t>
      </w:r>
      <w:r w:rsidRPr="00C02553">
        <w:t xml:space="preserve"> </w:t>
      </w:r>
      <w:r w:rsidR="00DD1DA2" w:rsidRPr="00E32209">
        <w:rPr>
          <w:rFonts w:cs="Arial"/>
          <w:szCs w:val="20"/>
        </w:rPr>
        <w:t>Alzheimer’s Agents</w:t>
      </w:r>
      <w:r w:rsidR="00DD1DA2">
        <w:rPr>
          <w:rFonts w:cs="Arial"/>
          <w:szCs w:val="20"/>
        </w:rPr>
        <w:t xml:space="preserve">, </w:t>
      </w:r>
      <w:r w:rsidR="00DD1DA2" w:rsidRPr="00E32209">
        <w:rPr>
          <w:rFonts w:cs="Arial"/>
          <w:szCs w:val="20"/>
        </w:rPr>
        <w:t>Acetylcholinesterase Inhibitors, N-Methyl-D-Aspartate Receptor Antagonists &amp; Combination</w:t>
      </w:r>
      <w:r w:rsidR="00DD1DA2">
        <w:rPr>
          <w:rFonts w:cs="Arial"/>
          <w:szCs w:val="20"/>
        </w:rPr>
        <w: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DD9F147" w14:textId="77777777" w:rsidR="00AD56A5" w:rsidRDefault="00AD56A5" w:rsidP="005B3C99">
      <w:pPr>
        <w:pStyle w:val="ListParagraph"/>
      </w:pPr>
      <w:r>
        <w:t>Must meet one of the following:</w:t>
      </w:r>
    </w:p>
    <w:p w14:paraId="5D0A138C" w14:textId="77777777" w:rsidR="00AD56A5" w:rsidRPr="00E02E87" w:rsidRDefault="00AD56A5" w:rsidP="005B3C99">
      <w:pPr>
        <w:pStyle w:val="ListParagraph"/>
        <w:numPr>
          <w:ilvl w:val="1"/>
          <w:numId w:val="6"/>
        </w:numPr>
      </w:pPr>
      <w:r>
        <w:t xml:space="preserve">Claim is for a preferred </w:t>
      </w:r>
      <w:proofErr w:type="gramStart"/>
      <w:r>
        <w:t>agent;</w:t>
      </w:r>
      <w:proofErr w:type="gramEnd"/>
    </w:p>
    <w:p w14:paraId="669CCB48" w14:textId="77777777" w:rsidR="00AD56A5" w:rsidRPr="00E02E87" w:rsidRDefault="00AD56A5" w:rsidP="005B3C99">
      <w:pPr>
        <w:pStyle w:val="ListParagraph"/>
        <w:numPr>
          <w:ilvl w:val="1"/>
          <w:numId w:val="6"/>
        </w:numPr>
      </w:pPr>
      <w:r w:rsidRPr="00E02E87">
        <w:t>Documented compliance on current therapy regimen</w:t>
      </w:r>
      <w:r>
        <w:t xml:space="preserve">; </w:t>
      </w:r>
      <w:r w:rsidRPr="00065F18">
        <w:rPr>
          <w:b/>
        </w:rPr>
        <w:t>OR</w:t>
      </w:r>
    </w:p>
    <w:p w14:paraId="282F78CD" w14:textId="77777777" w:rsidR="00AD56A5" w:rsidRPr="00E02E87" w:rsidRDefault="00AD56A5" w:rsidP="005B3C99">
      <w:pPr>
        <w:pStyle w:val="ListParagraph"/>
        <w:numPr>
          <w:ilvl w:val="1"/>
          <w:numId w:val="6"/>
        </w:numPr>
      </w:pPr>
      <w:r w:rsidRPr="00E02E87">
        <w:t xml:space="preserve">Failure to achieve desired therapeutic outcomes with trial on 2 or more preferred </w:t>
      </w:r>
      <w:proofErr w:type="gramStart"/>
      <w:r w:rsidRPr="00E02E87">
        <w:t>agents;</w:t>
      </w:r>
      <w:proofErr w:type="gramEnd"/>
      <w:r w:rsidRPr="00E02E87">
        <w:t xml:space="preserve"> </w:t>
      </w:r>
    </w:p>
    <w:p w14:paraId="403A1CAD" w14:textId="77777777" w:rsidR="00AD56A5" w:rsidRPr="00E32209" w:rsidRDefault="00AD56A5" w:rsidP="005B3C99">
      <w:pPr>
        <w:pStyle w:val="ListParagraph"/>
        <w:numPr>
          <w:ilvl w:val="2"/>
          <w:numId w:val="6"/>
        </w:numPr>
      </w:pPr>
      <w:r w:rsidRPr="00E32209">
        <w:t>Documented trial period for preferred agents</w:t>
      </w:r>
      <w:r>
        <w:t xml:space="preserve">; </w:t>
      </w:r>
      <w:r w:rsidRPr="00065F18">
        <w:rPr>
          <w:b/>
        </w:rPr>
        <w:t>OR</w:t>
      </w:r>
    </w:p>
    <w:p w14:paraId="106AE846" w14:textId="77777777" w:rsidR="00AD56A5" w:rsidRPr="00E32209" w:rsidRDefault="00AD56A5" w:rsidP="005B3C99">
      <w:pPr>
        <w:pStyle w:val="ListParagraph"/>
        <w:numPr>
          <w:ilvl w:val="2"/>
          <w:numId w:val="6"/>
        </w:numPr>
      </w:pPr>
      <w:r w:rsidRPr="00E32209">
        <w:t>Documented ADE/ADR to preferred agents</w:t>
      </w:r>
      <w:r>
        <w:t>.</w:t>
      </w:r>
    </w:p>
    <w:p w14:paraId="705D8D95" w14:textId="77777777" w:rsidR="00AD56A5" w:rsidRDefault="00AD56A5" w:rsidP="005B3C99">
      <w:pPr>
        <w:pStyle w:val="ListParagraph"/>
      </w:pPr>
      <w:r>
        <w:t>Additional approval criteria for Namzaric:</w:t>
      </w:r>
    </w:p>
    <w:p w14:paraId="500D8A42" w14:textId="77777777" w:rsidR="00AD56A5" w:rsidRDefault="00AD56A5" w:rsidP="005B3C99">
      <w:pPr>
        <w:pStyle w:val="ListParagraph"/>
        <w:numPr>
          <w:ilvl w:val="1"/>
          <w:numId w:val="6"/>
        </w:numPr>
      </w:pPr>
      <w:r w:rsidRPr="00C02EE0">
        <w:t xml:space="preserve">Documented compliance on memantine and </w:t>
      </w:r>
      <w:r w:rsidRPr="00A117D1">
        <w:t xml:space="preserve">oral </w:t>
      </w:r>
      <w:r w:rsidRPr="00C02EE0">
        <w:t>donepezil single agents (90/120 days)</w:t>
      </w:r>
      <w:r>
        <w:t>.</w:t>
      </w:r>
    </w:p>
    <w:p w14:paraId="327DED01" w14:textId="77777777" w:rsidR="00AD56A5" w:rsidRDefault="00AD56A5" w:rsidP="005B3C99">
      <w:pPr>
        <w:pStyle w:val="ListParagraph"/>
      </w:pPr>
      <w:r>
        <w:t>Additional approval criteria for Adlarity:</w:t>
      </w:r>
    </w:p>
    <w:p w14:paraId="23FA0FD7" w14:textId="77777777" w:rsidR="00AD56A5" w:rsidRPr="00C02EE0" w:rsidRDefault="00AD56A5" w:rsidP="005B3C99">
      <w:pPr>
        <w:pStyle w:val="ListParagraph"/>
        <w:numPr>
          <w:ilvl w:val="1"/>
          <w:numId w:val="6"/>
        </w:numPr>
      </w:pPr>
      <w:r>
        <w:t>Clinical Consultant Review for medical necessity.</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2474B64B" w14:textId="77777777" w:rsidR="00583F89" w:rsidRPr="00803FC9" w:rsidRDefault="00583F89" w:rsidP="00803FC9">
      <w:pPr>
        <w:pStyle w:val="ListParagraph"/>
      </w:pPr>
      <w:r w:rsidRPr="00803FC9">
        <w:t xml:space="preserve">Therapy will deny </w:t>
      </w:r>
      <w:proofErr w:type="gramStart"/>
      <w:r w:rsidRPr="00803FC9">
        <w:t>with</w:t>
      </w:r>
      <w:proofErr w:type="gramEnd"/>
      <w:r w:rsidRPr="00803FC9">
        <w:t xml:space="preserve"> presence of one of the following:</w:t>
      </w:r>
    </w:p>
    <w:p w14:paraId="2C822FC4" w14:textId="77777777" w:rsidR="00583F89" w:rsidRPr="00C41232" w:rsidRDefault="00583F89" w:rsidP="00803FC9">
      <w:pPr>
        <w:pStyle w:val="ListParagraph"/>
        <w:numPr>
          <w:ilvl w:val="1"/>
          <w:numId w:val="6"/>
        </w:numPr>
      </w:pPr>
      <w:r w:rsidRPr="00C41232">
        <w:t xml:space="preserve">Any approval criteria are not </w:t>
      </w:r>
      <w:proofErr w:type="gramStart"/>
      <w:r w:rsidRPr="00C41232">
        <w:t>met;</w:t>
      </w:r>
      <w:proofErr w:type="gramEnd"/>
      <w:r w:rsidRPr="00C41232">
        <w:t xml:space="preserve"> </w:t>
      </w:r>
      <w:r w:rsidRPr="00C41232">
        <w:rPr>
          <w:b/>
          <w:bCs/>
        </w:rPr>
        <w:t>OR</w:t>
      </w:r>
    </w:p>
    <w:p w14:paraId="196F47D9" w14:textId="77777777" w:rsidR="00583F89" w:rsidRPr="00C41232" w:rsidRDefault="00583F89" w:rsidP="00803FC9">
      <w:pPr>
        <w:pStyle w:val="ListParagraph"/>
        <w:numPr>
          <w:ilvl w:val="1"/>
          <w:numId w:val="6"/>
        </w:numPr>
      </w:pPr>
      <w:r w:rsidRPr="00C41232">
        <w:t>Claim exceeds quantity limitations:</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2790"/>
        <w:gridCol w:w="2610"/>
      </w:tblGrid>
      <w:tr w:rsidR="00583F89" w:rsidRPr="0082110F" w14:paraId="477AB404" w14:textId="77777777" w:rsidTr="00C04BEC">
        <w:trPr>
          <w:jc w:val="center"/>
        </w:trPr>
        <w:tc>
          <w:tcPr>
            <w:tcW w:w="3595" w:type="dxa"/>
            <w:shd w:val="clear" w:color="auto" w:fill="FABF8F" w:themeFill="accent6" w:themeFillTint="99"/>
            <w:vAlign w:val="bottom"/>
          </w:tcPr>
          <w:p w14:paraId="5D241AE9" w14:textId="77777777" w:rsidR="00583F89" w:rsidRPr="0082110F" w:rsidRDefault="00583F89" w:rsidP="00C04BEC">
            <w:pPr>
              <w:rPr>
                <w:rFonts w:cs="Arial"/>
                <w:szCs w:val="20"/>
              </w:rPr>
            </w:pPr>
            <w:r w:rsidRPr="0082110F">
              <w:rPr>
                <w:rFonts w:cs="Arial"/>
                <w:b/>
                <w:szCs w:val="20"/>
              </w:rPr>
              <w:t>Drug Description</w:t>
            </w:r>
          </w:p>
        </w:tc>
        <w:tc>
          <w:tcPr>
            <w:tcW w:w="2790" w:type="dxa"/>
            <w:shd w:val="clear" w:color="auto" w:fill="FABF8F" w:themeFill="accent6" w:themeFillTint="99"/>
            <w:vAlign w:val="bottom"/>
          </w:tcPr>
          <w:p w14:paraId="4D2936A2" w14:textId="77777777" w:rsidR="00583F89" w:rsidRPr="0082110F" w:rsidRDefault="00583F89" w:rsidP="00C04BEC">
            <w:pPr>
              <w:rPr>
                <w:rFonts w:cs="Arial"/>
                <w:szCs w:val="20"/>
              </w:rPr>
            </w:pPr>
            <w:r w:rsidRPr="0082110F">
              <w:rPr>
                <w:rFonts w:cs="Arial"/>
                <w:b/>
                <w:szCs w:val="20"/>
              </w:rPr>
              <w:t>Generic Equivalent</w:t>
            </w:r>
          </w:p>
        </w:tc>
        <w:tc>
          <w:tcPr>
            <w:tcW w:w="2610" w:type="dxa"/>
            <w:shd w:val="clear" w:color="auto" w:fill="FABF8F" w:themeFill="accent6" w:themeFillTint="99"/>
          </w:tcPr>
          <w:p w14:paraId="4121C476" w14:textId="77777777" w:rsidR="00583F89" w:rsidRPr="0082110F" w:rsidRDefault="00583F89" w:rsidP="00C04BEC">
            <w:pPr>
              <w:rPr>
                <w:rFonts w:cs="Arial"/>
                <w:b/>
                <w:szCs w:val="20"/>
              </w:rPr>
            </w:pPr>
            <w:r w:rsidRPr="0082110F">
              <w:rPr>
                <w:rFonts w:cs="Arial"/>
                <w:b/>
                <w:szCs w:val="20"/>
              </w:rPr>
              <w:t>Max Dosing Limitation</w:t>
            </w:r>
          </w:p>
        </w:tc>
      </w:tr>
      <w:tr w:rsidR="00583F89" w:rsidRPr="0082110F" w14:paraId="45B39AAA" w14:textId="77777777" w:rsidTr="00C04BEC">
        <w:trPr>
          <w:jc w:val="center"/>
        </w:trPr>
        <w:tc>
          <w:tcPr>
            <w:tcW w:w="3595" w:type="dxa"/>
          </w:tcPr>
          <w:p w14:paraId="4958CC6D" w14:textId="77777777" w:rsidR="00583F89" w:rsidRPr="0082110F" w:rsidRDefault="00583F89" w:rsidP="00C04BEC">
            <w:pPr>
              <w:rPr>
                <w:rFonts w:cs="Arial"/>
                <w:sz w:val="22"/>
                <w:szCs w:val="22"/>
              </w:rPr>
            </w:pPr>
            <w:r w:rsidRPr="00445AD6">
              <w:rPr>
                <w:rFonts w:cs="Arial"/>
                <w:sz w:val="22"/>
                <w:szCs w:val="22"/>
              </w:rPr>
              <w:t>ARICEPT 10 MG TABLET</w:t>
            </w:r>
          </w:p>
        </w:tc>
        <w:tc>
          <w:tcPr>
            <w:tcW w:w="2790" w:type="dxa"/>
          </w:tcPr>
          <w:p w14:paraId="6EA75CAB" w14:textId="77777777" w:rsidR="00583F89" w:rsidRPr="0082110F" w:rsidRDefault="00583F89" w:rsidP="00C04BEC">
            <w:pPr>
              <w:rPr>
                <w:rFonts w:cs="Arial"/>
                <w:sz w:val="22"/>
                <w:szCs w:val="22"/>
              </w:rPr>
            </w:pPr>
            <w:r w:rsidRPr="00445AD6">
              <w:rPr>
                <w:rFonts w:cs="Arial"/>
                <w:caps/>
                <w:sz w:val="22"/>
                <w:szCs w:val="22"/>
              </w:rPr>
              <w:t>DONEPEZIL HCL</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AFB9E" w14:textId="77777777" w:rsidR="00583F89" w:rsidRPr="0082110F" w:rsidRDefault="00583F89" w:rsidP="00C04BEC">
            <w:pPr>
              <w:rPr>
                <w:rFonts w:cs="Arial"/>
                <w:szCs w:val="20"/>
              </w:rPr>
            </w:pPr>
            <w:r>
              <w:rPr>
                <w:rFonts w:cs="Arial"/>
                <w:szCs w:val="20"/>
              </w:rPr>
              <w:t xml:space="preserve">1 tablet </w:t>
            </w:r>
            <w:r w:rsidRPr="0082110F">
              <w:rPr>
                <w:rFonts w:cs="Arial"/>
                <w:szCs w:val="20"/>
              </w:rPr>
              <w:t>per day</w:t>
            </w:r>
          </w:p>
        </w:tc>
      </w:tr>
      <w:tr w:rsidR="00583F89" w:rsidRPr="0082110F" w14:paraId="6D4909B5" w14:textId="77777777" w:rsidTr="00C04BEC">
        <w:trPr>
          <w:jc w:val="center"/>
        </w:trPr>
        <w:tc>
          <w:tcPr>
            <w:tcW w:w="3595" w:type="dxa"/>
          </w:tcPr>
          <w:p w14:paraId="1641436D" w14:textId="77777777" w:rsidR="00583F89" w:rsidRPr="00445AD6" w:rsidRDefault="00583F89" w:rsidP="00C04BEC">
            <w:pPr>
              <w:rPr>
                <w:rFonts w:cs="Arial"/>
                <w:sz w:val="22"/>
                <w:szCs w:val="22"/>
              </w:rPr>
            </w:pPr>
            <w:r w:rsidRPr="00445AD6">
              <w:rPr>
                <w:rFonts w:cs="Arial"/>
                <w:sz w:val="22"/>
                <w:szCs w:val="22"/>
              </w:rPr>
              <w:t>ARICEPT 5 MG TABLET</w:t>
            </w:r>
          </w:p>
        </w:tc>
        <w:tc>
          <w:tcPr>
            <w:tcW w:w="2790" w:type="dxa"/>
          </w:tcPr>
          <w:p w14:paraId="60C47401" w14:textId="77777777" w:rsidR="00583F89" w:rsidRPr="00445AD6" w:rsidRDefault="00583F89" w:rsidP="00C04BEC">
            <w:pPr>
              <w:rPr>
                <w:rFonts w:cs="Arial"/>
                <w:sz w:val="22"/>
                <w:szCs w:val="22"/>
              </w:rPr>
            </w:pPr>
            <w:r w:rsidRPr="00445AD6">
              <w:rPr>
                <w:rFonts w:cs="Arial"/>
                <w:caps/>
                <w:sz w:val="22"/>
                <w:szCs w:val="22"/>
              </w:rPr>
              <w:t>DONEPEZIL HCL</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BA3282C" w14:textId="77777777" w:rsidR="00583F89" w:rsidRPr="0082110F" w:rsidRDefault="00583F89" w:rsidP="00C04BEC">
            <w:pPr>
              <w:rPr>
                <w:rFonts w:cs="Arial"/>
                <w:szCs w:val="20"/>
              </w:rPr>
            </w:pPr>
            <w:r w:rsidRPr="00584F91">
              <w:rPr>
                <w:rFonts w:cs="Arial"/>
                <w:szCs w:val="20"/>
              </w:rPr>
              <w:t xml:space="preserve">1 tablet </w:t>
            </w:r>
            <w:r w:rsidRPr="0082110F">
              <w:rPr>
                <w:rFonts w:cs="Arial"/>
                <w:szCs w:val="20"/>
              </w:rPr>
              <w:t>per day</w:t>
            </w:r>
          </w:p>
        </w:tc>
      </w:tr>
      <w:tr w:rsidR="00583F89" w:rsidRPr="0082110F" w14:paraId="10113D49" w14:textId="77777777" w:rsidTr="00C04BEC">
        <w:trPr>
          <w:jc w:val="center"/>
        </w:trPr>
        <w:tc>
          <w:tcPr>
            <w:tcW w:w="3595" w:type="dxa"/>
          </w:tcPr>
          <w:p w14:paraId="260649FC" w14:textId="77777777" w:rsidR="00583F89" w:rsidRPr="00445AD6" w:rsidRDefault="00583F89" w:rsidP="00C04BEC">
            <w:pPr>
              <w:rPr>
                <w:rFonts w:cs="Arial"/>
                <w:sz w:val="22"/>
                <w:szCs w:val="22"/>
              </w:rPr>
            </w:pPr>
            <w:r w:rsidRPr="00445AD6">
              <w:rPr>
                <w:rFonts w:cs="Arial"/>
                <w:sz w:val="22"/>
                <w:szCs w:val="22"/>
              </w:rPr>
              <w:t>ARICEPT ODT 5 MG TABLET</w:t>
            </w:r>
          </w:p>
        </w:tc>
        <w:tc>
          <w:tcPr>
            <w:tcW w:w="2790" w:type="dxa"/>
          </w:tcPr>
          <w:p w14:paraId="5A510B4F" w14:textId="77777777" w:rsidR="00583F89" w:rsidRPr="00445AD6" w:rsidRDefault="00583F89" w:rsidP="00C04BEC">
            <w:pPr>
              <w:rPr>
                <w:rFonts w:cs="Arial"/>
                <w:sz w:val="22"/>
                <w:szCs w:val="22"/>
              </w:rPr>
            </w:pPr>
            <w:r w:rsidRPr="00445AD6">
              <w:rPr>
                <w:rFonts w:cs="Arial"/>
                <w:caps/>
                <w:sz w:val="22"/>
                <w:szCs w:val="22"/>
              </w:rPr>
              <w:t>DONEPEZIL HCL</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22BA977" w14:textId="77777777" w:rsidR="00583F89" w:rsidRPr="0082110F" w:rsidRDefault="00583F89" w:rsidP="00C04BEC">
            <w:pPr>
              <w:rPr>
                <w:rFonts w:cs="Arial"/>
                <w:szCs w:val="20"/>
              </w:rPr>
            </w:pPr>
            <w:r w:rsidRPr="00584F91">
              <w:rPr>
                <w:rFonts w:cs="Arial"/>
                <w:szCs w:val="20"/>
              </w:rPr>
              <w:t xml:space="preserve">1 tablet </w:t>
            </w:r>
            <w:r w:rsidRPr="0082110F">
              <w:rPr>
                <w:rFonts w:cs="Arial"/>
                <w:szCs w:val="20"/>
              </w:rPr>
              <w:t>per day</w:t>
            </w:r>
          </w:p>
        </w:tc>
      </w:tr>
      <w:tr w:rsidR="00583F89" w:rsidRPr="0082110F" w14:paraId="197402EF" w14:textId="77777777" w:rsidTr="00C04BEC">
        <w:trPr>
          <w:jc w:val="center"/>
        </w:trPr>
        <w:tc>
          <w:tcPr>
            <w:tcW w:w="3595" w:type="dxa"/>
          </w:tcPr>
          <w:p w14:paraId="0068C129" w14:textId="77777777" w:rsidR="00583F89" w:rsidRPr="00445AD6" w:rsidRDefault="00583F89" w:rsidP="00C04BEC">
            <w:pPr>
              <w:rPr>
                <w:rFonts w:cs="Arial"/>
                <w:sz w:val="22"/>
                <w:szCs w:val="22"/>
              </w:rPr>
            </w:pPr>
            <w:r w:rsidRPr="00445AD6">
              <w:rPr>
                <w:rFonts w:cs="Arial"/>
                <w:sz w:val="22"/>
                <w:szCs w:val="22"/>
              </w:rPr>
              <w:t>ARICEPT ODT 10 MG TABLET</w:t>
            </w:r>
          </w:p>
        </w:tc>
        <w:tc>
          <w:tcPr>
            <w:tcW w:w="2790" w:type="dxa"/>
          </w:tcPr>
          <w:p w14:paraId="4DC6F8BE" w14:textId="77777777" w:rsidR="00583F89" w:rsidRPr="00445AD6" w:rsidRDefault="00583F89" w:rsidP="00C04BEC">
            <w:pPr>
              <w:rPr>
                <w:rFonts w:cs="Arial"/>
                <w:sz w:val="22"/>
                <w:szCs w:val="22"/>
              </w:rPr>
            </w:pPr>
            <w:r w:rsidRPr="00445AD6">
              <w:rPr>
                <w:rFonts w:cs="Arial"/>
                <w:caps/>
                <w:sz w:val="22"/>
                <w:szCs w:val="22"/>
              </w:rPr>
              <w:t>DONEPEZIL HCL</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41695D" w14:textId="77777777" w:rsidR="00583F89" w:rsidRPr="0082110F" w:rsidRDefault="00583F89" w:rsidP="00C04BEC">
            <w:pPr>
              <w:rPr>
                <w:rFonts w:cs="Arial"/>
                <w:szCs w:val="20"/>
              </w:rPr>
            </w:pPr>
            <w:r w:rsidRPr="00584F91">
              <w:rPr>
                <w:rFonts w:cs="Arial"/>
                <w:szCs w:val="20"/>
              </w:rPr>
              <w:t xml:space="preserve">1 tablet </w:t>
            </w:r>
            <w:r w:rsidRPr="0082110F">
              <w:rPr>
                <w:rFonts w:cs="Arial"/>
                <w:szCs w:val="20"/>
              </w:rPr>
              <w:t>per day</w:t>
            </w:r>
          </w:p>
        </w:tc>
      </w:tr>
      <w:tr w:rsidR="00583F89" w:rsidRPr="0082110F" w14:paraId="35407C52" w14:textId="77777777" w:rsidTr="00C04BEC">
        <w:trPr>
          <w:jc w:val="center"/>
        </w:trPr>
        <w:tc>
          <w:tcPr>
            <w:tcW w:w="3595" w:type="dxa"/>
          </w:tcPr>
          <w:p w14:paraId="12A13EC1" w14:textId="77777777" w:rsidR="00583F89" w:rsidRPr="00445AD6" w:rsidRDefault="00583F89" w:rsidP="00C04BEC">
            <w:pPr>
              <w:rPr>
                <w:rFonts w:cs="Arial"/>
                <w:sz w:val="22"/>
                <w:szCs w:val="22"/>
              </w:rPr>
            </w:pPr>
            <w:r w:rsidRPr="00445AD6">
              <w:rPr>
                <w:rFonts w:cs="Arial"/>
                <w:sz w:val="22"/>
                <w:szCs w:val="22"/>
              </w:rPr>
              <w:t>ARICEPT 23 MG TABLET</w:t>
            </w:r>
          </w:p>
        </w:tc>
        <w:tc>
          <w:tcPr>
            <w:tcW w:w="2790" w:type="dxa"/>
          </w:tcPr>
          <w:p w14:paraId="4EF120DE" w14:textId="77777777" w:rsidR="00583F89" w:rsidRPr="00445AD6" w:rsidRDefault="00583F89" w:rsidP="00C04BEC">
            <w:pPr>
              <w:rPr>
                <w:rFonts w:cs="Arial"/>
                <w:sz w:val="22"/>
                <w:szCs w:val="22"/>
              </w:rPr>
            </w:pPr>
            <w:r w:rsidRPr="00445AD6">
              <w:rPr>
                <w:rFonts w:cs="Arial"/>
                <w:caps/>
                <w:sz w:val="22"/>
                <w:szCs w:val="22"/>
              </w:rPr>
              <w:t>DONEPEZIL HCL</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86CBAE" w14:textId="77777777" w:rsidR="00583F89" w:rsidRPr="00584F91" w:rsidRDefault="00583F89" w:rsidP="00C04BEC">
            <w:pPr>
              <w:rPr>
                <w:rFonts w:cs="Arial"/>
                <w:szCs w:val="20"/>
              </w:rPr>
            </w:pPr>
            <w:r w:rsidRPr="00584F91">
              <w:rPr>
                <w:rFonts w:cs="Arial"/>
                <w:szCs w:val="20"/>
              </w:rPr>
              <w:t xml:space="preserve">1 tablet </w:t>
            </w:r>
            <w:r w:rsidRPr="0082110F">
              <w:rPr>
                <w:rFonts w:cs="Arial"/>
                <w:szCs w:val="20"/>
              </w:rPr>
              <w:t>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67CED00C" w14:textId="77777777" w:rsidR="00045FF3" w:rsidRDefault="00045FF3" w:rsidP="00045FF3">
      <w:pPr>
        <w:pStyle w:val="ListParagraph"/>
      </w:pPr>
      <w:r>
        <w:t>Evidence-Based Medicine and Fiscal Analysis: “Therapeutic Class Review: CENTRAL NERVOUS SYSTEM: Alzheimer’s Agents, Acetylcholinesterase Inhibitors, N-Methyl-D-Aspartate Receptor Antagonists and Combinations”, Gainwell Technologies; Last updated September 21, 2023.</w:t>
      </w:r>
    </w:p>
    <w:p w14:paraId="04105A18" w14:textId="38B808A7" w:rsidR="00045FF3" w:rsidRDefault="00045FF3" w:rsidP="00045FF3">
      <w:pPr>
        <w:pStyle w:val="ListParagraph"/>
      </w:pPr>
      <w:r>
        <w:lastRenderedPageBreak/>
        <w:t>Evidence-Based Medicine Analysis: “</w:t>
      </w:r>
      <w:r w:rsidR="00B61FEE" w:rsidRPr="00B61FEE">
        <w:t>Agents for Alzheimer’s, Acetylcholinesterase Inhibitors, N-Methyl-D-Aspartate Receptor Antagonists and Combinations</w:t>
      </w:r>
      <w:r>
        <w:t xml:space="preserve">”, UMKC-DIC; </w:t>
      </w:r>
      <w:r w:rsidR="002E4F3B" w:rsidRPr="002E4F3B">
        <w:t>August 2025</w:t>
      </w:r>
      <w:r>
        <w:t>.</w:t>
      </w:r>
    </w:p>
    <w:p w14:paraId="025CF642" w14:textId="517BF235" w:rsidR="00045FF3" w:rsidRDefault="00045FF3" w:rsidP="00045FF3">
      <w:pPr>
        <w:pStyle w:val="ListParagraph"/>
      </w:pPr>
      <w:r>
        <w:t>USPDI, Micromedex; 202</w:t>
      </w:r>
      <w:r w:rsidR="000F610C">
        <w:t>5</w:t>
      </w:r>
      <w:r>
        <w:t>.</w:t>
      </w:r>
    </w:p>
    <w:p w14:paraId="435FE38B" w14:textId="14252F97" w:rsidR="00045FF3" w:rsidRDefault="00045FF3" w:rsidP="00045FF3">
      <w:pPr>
        <w:pStyle w:val="ListParagraph"/>
      </w:pPr>
      <w:r>
        <w:t>Drug Facts and Comparisons On-line; 202</w:t>
      </w:r>
      <w:r w:rsidR="000F610C">
        <w:t>5</w:t>
      </w:r>
      <w:r>
        <w:t>.</w:t>
      </w:r>
    </w:p>
    <w:sectPr w:rsidR="00045FF3"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E350" w14:textId="77777777" w:rsidR="002730E6" w:rsidRPr="00C02553" w:rsidRDefault="002730E6" w:rsidP="00AE77DB">
      <w:r w:rsidRPr="00C02553">
        <w:separator/>
      </w:r>
    </w:p>
  </w:endnote>
  <w:endnote w:type="continuationSeparator" w:id="0">
    <w:p w14:paraId="4CAD9C60" w14:textId="77777777" w:rsidR="002730E6" w:rsidRPr="00C02553" w:rsidRDefault="002730E6" w:rsidP="00AE77DB">
      <w:r w:rsidRPr="00C02553">
        <w:continuationSeparator/>
      </w:r>
    </w:p>
  </w:endnote>
  <w:endnote w:type="continuationNotice" w:id="1">
    <w:p w14:paraId="45E329F6" w14:textId="77777777" w:rsidR="002730E6" w:rsidRPr="00C02553" w:rsidRDefault="0027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2664" w14:textId="77777777" w:rsidR="002730E6" w:rsidRPr="00C02553" w:rsidRDefault="002730E6" w:rsidP="00AE77DB">
      <w:r w:rsidRPr="00C02553">
        <w:separator/>
      </w:r>
    </w:p>
  </w:footnote>
  <w:footnote w:type="continuationSeparator" w:id="0">
    <w:p w14:paraId="72666330" w14:textId="77777777" w:rsidR="002730E6" w:rsidRPr="00C02553" w:rsidRDefault="002730E6" w:rsidP="00AE77DB">
      <w:r w:rsidRPr="00C02553">
        <w:continuationSeparator/>
      </w:r>
    </w:p>
  </w:footnote>
  <w:footnote w:type="continuationNotice" w:id="1">
    <w:p w14:paraId="367E35DC" w14:textId="77777777" w:rsidR="002730E6" w:rsidRPr="00C02553" w:rsidRDefault="00273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2730E6">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2730E6">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2730E6">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F1419D6"/>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FC415EE"/>
    <w:multiLevelType w:val="hybridMultilevel"/>
    <w:tmpl w:val="6320272C"/>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color w:val="auto"/>
      </w:rPr>
    </w:lvl>
    <w:lvl w:ilvl="2" w:tplc="04090001">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14D9A"/>
    <w:multiLevelType w:val="hybridMultilevel"/>
    <w:tmpl w:val="98FC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340355"/>
    <w:multiLevelType w:val="hybridMultilevel"/>
    <w:tmpl w:val="A9A0C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870E2A"/>
    <w:multiLevelType w:val="hybridMultilevel"/>
    <w:tmpl w:val="AF528AA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CE05AF"/>
    <w:multiLevelType w:val="hybridMultilevel"/>
    <w:tmpl w:val="911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4"/>
  </w:num>
  <w:num w:numId="4" w16cid:durableId="320159068">
    <w:abstractNumId w:val="9"/>
  </w:num>
  <w:num w:numId="5" w16cid:durableId="1769498754">
    <w:abstractNumId w:val="3"/>
  </w:num>
  <w:num w:numId="6" w16cid:durableId="1094596320">
    <w:abstractNumId w:val="16"/>
  </w:num>
  <w:num w:numId="7" w16cid:durableId="2110008555">
    <w:abstractNumId w:val="2"/>
  </w:num>
  <w:num w:numId="8" w16cid:durableId="489712751">
    <w:abstractNumId w:val="8"/>
  </w:num>
  <w:num w:numId="9" w16cid:durableId="1085147965">
    <w:abstractNumId w:val="12"/>
  </w:num>
  <w:num w:numId="10" w16cid:durableId="917518096">
    <w:abstractNumId w:val="10"/>
  </w:num>
  <w:num w:numId="11" w16cid:durableId="1894998475">
    <w:abstractNumId w:val="1"/>
  </w:num>
  <w:num w:numId="12" w16cid:durableId="1418215296">
    <w:abstractNumId w:val="17"/>
  </w:num>
  <w:num w:numId="13" w16cid:durableId="604729665">
    <w:abstractNumId w:val="7"/>
  </w:num>
  <w:num w:numId="14" w16cid:durableId="1805081292">
    <w:abstractNumId w:val="14"/>
  </w:num>
  <w:num w:numId="15" w16cid:durableId="1430270706">
    <w:abstractNumId w:val="11"/>
  </w:num>
  <w:num w:numId="16" w16cid:durableId="1339120181">
    <w:abstractNumId w:val="18"/>
  </w:num>
  <w:num w:numId="17" w16cid:durableId="1187216254">
    <w:abstractNumId w:val="6"/>
  </w:num>
  <w:num w:numId="18" w16cid:durableId="1832258742">
    <w:abstractNumId w:val="5"/>
  </w:num>
  <w:num w:numId="19" w16cid:durableId="142738471">
    <w:abstractNumId w:val="13"/>
  </w:num>
  <w:num w:numId="20" w16cid:durableId="13398380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6A61"/>
    <w:rsid w:val="000276D9"/>
    <w:rsid w:val="00040AD3"/>
    <w:rsid w:val="00045FF3"/>
    <w:rsid w:val="00053807"/>
    <w:rsid w:val="000572E5"/>
    <w:rsid w:val="00061541"/>
    <w:rsid w:val="00064162"/>
    <w:rsid w:val="00065C22"/>
    <w:rsid w:val="00073744"/>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0F610C"/>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3B3D"/>
    <w:rsid w:val="00226275"/>
    <w:rsid w:val="00241E3C"/>
    <w:rsid w:val="00246564"/>
    <w:rsid w:val="00246A3B"/>
    <w:rsid w:val="00255404"/>
    <w:rsid w:val="0025594F"/>
    <w:rsid w:val="00270C5E"/>
    <w:rsid w:val="002730E6"/>
    <w:rsid w:val="00290A03"/>
    <w:rsid w:val="0029159A"/>
    <w:rsid w:val="00291600"/>
    <w:rsid w:val="002A02F4"/>
    <w:rsid w:val="002B1519"/>
    <w:rsid w:val="002C2C41"/>
    <w:rsid w:val="002C62E7"/>
    <w:rsid w:val="002E05E2"/>
    <w:rsid w:val="002E2DD6"/>
    <w:rsid w:val="002E3F28"/>
    <w:rsid w:val="002E4F3B"/>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504B"/>
    <w:rsid w:val="003A630F"/>
    <w:rsid w:val="003B3958"/>
    <w:rsid w:val="003B4820"/>
    <w:rsid w:val="003B5F4B"/>
    <w:rsid w:val="003B682F"/>
    <w:rsid w:val="003C53FC"/>
    <w:rsid w:val="003C7013"/>
    <w:rsid w:val="003D2585"/>
    <w:rsid w:val="003D641B"/>
    <w:rsid w:val="003F227C"/>
    <w:rsid w:val="004023CC"/>
    <w:rsid w:val="00407564"/>
    <w:rsid w:val="00411152"/>
    <w:rsid w:val="004156AA"/>
    <w:rsid w:val="0042483B"/>
    <w:rsid w:val="004253A1"/>
    <w:rsid w:val="004313B6"/>
    <w:rsid w:val="00433339"/>
    <w:rsid w:val="0044681C"/>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6113"/>
    <w:rsid w:val="00583F89"/>
    <w:rsid w:val="00590652"/>
    <w:rsid w:val="0059235F"/>
    <w:rsid w:val="00596936"/>
    <w:rsid w:val="005A2F1E"/>
    <w:rsid w:val="005A4232"/>
    <w:rsid w:val="005B3C99"/>
    <w:rsid w:val="005C3616"/>
    <w:rsid w:val="005D36B2"/>
    <w:rsid w:val="005D52E7"/>
    <w:rsid w:val="005D78B5"/>
    <w:rsid w:val="005E3572"/>
    <w:rsid w:val="005E45E4"/>
    <w:rsid w:val="005F0A81"/>
    <w:rsid w:val="005F0FCF"/>
    <w:rsid w:val="005F74E2"/>
    <w:rsid w:val="0060042F"/>
    <w:rsid w:val="006008BC"/>
    <w:rsid w:val="0060099B"/>
    <w:rsid w:val="00602CFD"/>
    <w:rsid w:val="006047E9"/>
    <w:rsid w:val="00606B55"/>
    <w:rsid w:val="00612A7B"/>
    <w:rsid w:val="00616353"/>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03FC9"/>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077E"/>
    <w:rsid w:val="008A4C8B"/>
    <w:rsid w:val="008A5D88"/>
    <w:rsid w:val="008B2851"/>
    <w:rsid w:val="008B6DDC"/>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0E11"/>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97348"/>
    <w:rsid w:val="00AA08D0"/>
    <w:rsid w:val="00AA70AB"/>
    <w:rsid w:val="00AB0B9F"/>
    <w:rsid w:val="00AB1713"/>
    <w:rsid w:val="00AB63BE"/>
    <w:rsid w:val="00AC1EBC"/>
    <w:rsid w:val="00AC2599"/>
    <w:rsid w:val="00AC2DE9"/>
    <w:rsid w:val="00AD2C5F"/>
    <w:rsid w:val="00AD56A5"/>
    <w:rsid w:val="00AE1481"/>
    <w:rsid w:val="00AE27F9"/>
    <w:rsid w:val="00AE77DB"/>
    <w:rsid w:val="00AF7453"/>
    <w:rsid w:val="00B00FFF"/>
    <w:rsid w:val="00B06084"/>
    <w:rsid w:val="00B16735"/>
    <w:rsid w:val="00B17EDE"/>
    <w:rsid w:val="00B22511"/>
    <w:rsid w:val="00B22585"/>
    <w:rsid w:val="00B33693"/>
    <w:rsid w:val="00B34C53"/>
    <w:rsid w:val="00B507A5"/>
    <w:rsid w:val="00B52475"/>
    <w:rsid w:val="00B535DA"/>
    <w:rsid w:val="00B56DCC"/>
    <w:rsid w:val="00B56F54"/>
    <w:rsid w:val="00B61FEE"/>
    <w:rsid w:val="00B638C2"/>
    <w:rsid w:val="00B758AB"/>
    <w:rsid w:val="00B76277"/>
    <w:rsid w:val="00B772AB"/>
    <w:rsid w:val="00B80395"/>
    <w:rsid w:val="00B80B56"/>
    <w:rsid w:val="00B86372"/>
    <w:rsid w:val="00B9283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1018C"/>
    <w:rsid w:val="00C1150E"/>
    <w:rsid w:val="00C14D52"/>
    <w:rsid w:val="00C200EC"/>
    <w:rsid w:val="00C2586C"/>
    <w:rsid w:val="00C26001"/>
    <w:rsid w:val="00C34E72"/>
    <w:rsid w:val="00C41232"/>
    <w:rsid w:val="00C51915"/>
    <w:rsid w:val="00C56B1F"/>
    <w:rsid w:val="00C61B52"/>
    <w:rsid w:val="00C62745"/>
    <w:rsid w:val="00C64090"/>
    <w:rsid w:val="00C654CA"/>
    <w:rsid w:val="00C763BD"/>
    <w:rsid w:val="00C779A8"/>
    <w:rsid w:val="00C82E19"/>
    <w:rsid w:val="00C84027"/>
    <w:rsid w:val="00C96873"/>
    <w:rsid w:val="00CA1735"/>
    <w:rsid w:val="00CA3C4B"/>
    <w:rsid w:val="00CA7252"/>
    <w:rsid w:val="00CB2C5A"/>
    <w:rsid w:val="00CE0C1C"/>
    <w:rsid w:val="00CE29D7"/>
    <w:rsid w:val="00CE34AF"/>
    <w:rsid w:val="00CF00A4"/>
    <w:rsid w:val="00CF25FB"/>
    <w:rsid w:val="00CF614C"/>
    <w:rsid w:val="00D02F34"/>
    <w:rsid w:val="00D13D87"/>
    <w:rsid w:val="00D16590"/>
    <w:rsid w:val="00D20720"/>
    <w:rsid w:val="00D250D9"/>
    <w:rsid w:val="00D27533"/>
    <w:rsid w:val="00D42DA3"/>
    <w:rsid w:val="00D43DFD"/>
    <w:rsid w:val="00D4546D"/>
    <w:rsid w:val="00D47996"/>
    <w:rsid w:val="00D535CA"/>
    <w:rsid w:val="00D61118"/>
    <w:rsid w:val="00D614F1"/>
    <w:rsid w:val="00D70D50"/>
    <w:rsid w:val="00D71917"/>
    <w:rsid w:val="00D7278F"/>
    <w:rsid w:val="00DA3A0F"/>
    <w:rsid w:val="00DA4E62"/>
    <w:rsid w:val="00DA6990"/>
    <w:rsid w:val="00DB27BA"/>
    <w:rsid w:val="00DB337A"/>
    <w:rsid w:val="00DC51CB"/>
    <w:rsid w:val="00DD1DA2"/>
    <w:rsid w:val="00DD4819"/>
    <w:rsid w:val="00DD4B8A"/>
    <w:rsid w:val="00DD5403"/>
    <w:rsid w:val="00DE1388"/>
    <w:rsid w:val="00DE2182"/>
    <w:rsid w:val="00DE7501"/>
    <w:rsid w:val="00DF3146"/>
    <w:rsid w:val="00DF405D"/>
    <w:rsid w:val="00DF57C3"/>
    <w:rsid w:val="00E005DA"/>
    <w:rsid w:val="00E008D9"/>
    <w:rsid w:val="00E02FE0"/>
    <w:rsid w:val="00E07ABE"/>
    <w:rsid w:val="00E11A3F"/>
    <w:rsid w:val="00E1327C"/>
    <w:rsid w:val="00E1386E"/>
    <w:rsid w:val="00E2369B"/>
    <w:rsid w:val="00E23E17"/>
    <w:rsid w:val="00E23EC0"/>
    <w:rsid w:val="00E23FD3"/>
    <w:rsid w:val="00E354AA"/>
    <w:rsid w:val="00E43D54"/>
    <w:rsid w:val="00E442FB"/>
    <w:rsid w:val="00E50CD2"/>
    <w:rsid w:val="00E529DB"/>
    <w:rsid w:val="00E53A5E"/>
    <w:rsid w:val="00E6466A"/>
    <w:rsid w:val="00E72221"/>
    <w:rsid w:val="00E83428"/>
    <w:rsid w:val="00E84C58"/>
    <w:rsid w:val="00E873A5"/>
    <w:rsid w:val="00E90D11"/>
    <w:rsid w:val="00E915E5"/>
    <w:rsid w:val="00EB0367"/>
    <w:rsid w:val="00EB4FB9"/>
    <w:rsid w:val="00EB5BC8"/>
    <w:rsid w:val="00EC1D21"/>
    <w:rsid w:val="00EC2738"/>
    <w:rsid w:val="00ED012D"/>
    <w:rsid w:val="00ED7B42"/>
    <w:rsid w:val="00EE1743"/>
    <w:rsid w:val="00EE3EA5"/>
    <w:rsid w:val="00EE613F"/>
    <w:rsid w:val="00EE6BD1"/>
    <w:rsid w:val="00EF0262"/>
    <w:rsid w:val="00EF0828"/>
    <w:rsid w:val="00EF642E"/>
    <w:rsid w:val="00EF6F8B"/>
    <w:rsid w:val="00F03898"/>
    <w:rsid w:val="00F1527A"/>
    <w:rsid w:val="00F2696B"/>
    <w:rsid w:val="00F27821"/>
    <w:rsid w:val="00F4092A"/>
    <w:rsid w:val="00F41F69"/>
    <w:rsid w:val="00F43E41"/>
    <w:rsid w:val="00F4790C"/>
    <w:rsid w:val="00F50C4B"/>
    <w:rsid w:val="00F50EA1"/>
    <w:rsid w:val="00F54C08"/>
    <w:rsid w:val="00F553A2"/>
    <w:rsid w:val="00F6068C"/>
    <w:rsid w:val="00F62F33"/>
    <w:rsid w:val="00F63A52"/>
    <w:rsid w:val="00F649BB"/>
    <w:rsid w:val="00F730BA"/>
    <w:rsid w:val="00F903BE"/>
    <w:rsid w:val="00F95D04"/>
    <w:rsid w:val="00F978BD"/>
    <w:rsid w:val="00FA16EC"/>
    <w:rsid w:val="00FA2811"/>
    <w:rsid w:val="00FA4837"/>
    <w:rsid w:val="00FB1D33"/>
    <w:rsid w:val="00FB5E96"/>
    <w:rsid w:val="00FC05A0"/>
    <w:rsid w:val="00FC6758"/>
    <w:rsid w:val="00FD34EA"/>
    <w:rsid w:val="00FE3F3E"/>
    <w:rsid w:val="00FE4D52"/>
    <w:rsid w:val="00FE5AEE"/>
    <w:rsid w:val="00FF106B"/>
    <w:rsid w:val="79117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paragraph" w:styleId="Revision">
    <w:name w:val="Revision"/>
    <w:hidden/>
    <w:uiPriority w:val="99"/>
    <w:semiHidden/>
    <w:rsid w:val="00D7278F"/>
    <w:rPr>
      <w:rFonts w:ascii="Arial" w:hAnsi="Arial"/>
      <w:szCs w:val="24"/>
    </w:rPr>
  </w:style>
  <w:style w:type="character" w:styleId="CommentReference">
    <w:name w:val="annotation reference"/>
    <w:basedOn w:val="DefaultParagraphFont"/>
    <w:uiPriority w:val="99"/>
    <w:semiHidden/>
    <w:unhideWhenUsed/>
    <w:rsid w:val="00AA08D0"/>
    <w:rPr>
      <w:sz w:val="16"/>
      <w:szCs w:val="16"/>
    </w:rPr>
  </w:style>
  <w:style w:type="paragraph" w:styleId="CommentSubject">
    <w:name w:val="annotation subject"/>
    <w:basedOn w:val="CommentText"/>
    <w:next w:val="CommentText"/>
    <w:link w:val="CommentSubjectChar"/>
    <w:uiPriority w:val="99"/>
    <w:semiHidden/>
    <w:unhideWhenUsed/>
    <w:rsid w:val="00AA08D0"/>
    <w:rPr>
      <w:b/>
      <w:bCs/>
    </w:rPr>
  </w:style>
  <w:style w:type="character" w:customStyle="1" w:styleId="CommentTextChar">
    <w:name w:val="Comment Text Char"/>
    <w:basedOn w:val="DefaultParagraphFont"/>
    <w:link w:val="CommentText"/>
    <w:semiHidden/>
    <w:rsid w:val="00AA08D0"/>
    <w:rPr>
      <w:rFonts w:ascii="Arial" w:hAnsi="Arial"/>
    </w:rPr>
  </w:style>
  <w:style w:type="character" w:customStyle="1" w:styleId="CommentSubjectChar">
    <w:name w:val="Comment Subject Char"/>
    <w:basedOn w:val="CommentTextChar"/>
    <w:link w:val="CommentSubject"/>
    <w:uiPriority w:val="99"/>
    <w:semiHidden/>
    <w:rsid w:val="00AA08D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dss.mo.gov/mhd/pharmacy-clinical-edits-pd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4.xml><?xml version="1.0" encoding="utf-8"?>
<ds:datastoreItem xmlns:ds="http://schemas.openxmlformats.org/officeDocument/2006/customXml" ds:itemID="{1B3DA65E-CD7A-47F2-939F-C0532791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 id="{b394479e-9b45-4627-9609-c760204f7770}" enabled="0" method="" siteId="{b394479e-9b45-4627-9609-c760204f777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Alzheimer’s Agents, Acetylcholinesterase Inhibitors, N-Methyl-D-Aspartate Receptor Antagonists &amp; Combinations PDL Edit</vt:lpstr>
    </vt:vector>
  </TitlesOfParts>
  <Company>DSS</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Alzheimer’s Agents, Acetylcholinesterase Inhibitors, N-Methyl-D-Aspartate Receptor Antagonists &amp; Combinations PDL Edit</dc:title>
  <dc:creator>DMS</dc:creator>
  <cp:lastModifiedBy>Morsches, Phuonglinh</cp:lastModifiedBy>
  <cp:revision>8</cp:revision>
  <cp:lastPrinted>2018-10-31T20:17:00Z</cp:lastPrinted>
  <dcterms:created xsi:type="dcterms:W3CDTF">2025-12-13T17:19:00Z</dcterms:created>
  <dcterms:modified xsi:type="dcterms:W3CDTF">2025-12-17T04:11:00Z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