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D9BFAE6" w:rsidR="00AE77DB" w:rsidRPr="00BC46EE" w:rsidRDefault="004829D4" w:rsidP="00D02F34">
      <w:pPr>
        <w:pStyle w:val="Heading1"/>
        <w:rPr>
          <w:color w:val="002060"/>
          <w:sz w:val="52"/>
          <w:szCs w:val="52"/>
          <w:lang w:val="en-US"/>
        </w:rPr>
      </w:pPr>
      <w:r w:rsidRPr="00BC46EE">
        <w:rPr>
          <w:color w:val="002060"/>
          <w:sz w:val="52"/>
          <w:szCs w:val="52"/>
          <w:lang w:val="en-US"/>
        </w:rPr>
        <w:t>New Drug Fact Blast</w:t>
      </w:r>
    </w:p>
    <w:p w14:paraId="56120035" w14:textId="77777777" w:rsidR="00BC46EE" w:rsidRPr="00BC46EE" w:rsidRDefault="00BC46EE" w:rsidP="00CE4651">
      <w:pPr>
        <w:pStyle w:val="tbody"/>
        <w:rPr>
          <w:sz w:val="18"/>
          <w:szCs w:val="18"/>
        </w:rPr>
      </w:pPr>
    </w:p>
    <w:p w14:paraId="36D838E1" w14:textId="24B5A002" w:rsidR="00507DA1" w:rsidRPr="00BC46EE" w:rsidRDefault="00CE4651" w:rsidP="0022031B">
      <w:pPr>
        <w:pStyle w:val="tbody"/>
        <w:rPr>
          <w:rFonts w:cs="Arial"/>
        </w:rPr>
      </w:pPr>
      <w:r w:rsidRPr="00BC46EE">
        <w:rPr>
          <w:rFonts w:cs="Arial"/>
        </w:rPr>
        <w:t>Drug/Manufacturer:</w:t>
      </w:r>
      <w:r w:rsidR="00507DA1" w:rsidRPr="00BC46EE">
        <w:rPr>
          <w:rFonts w:cs="Arial"/>
        </w:rPr>
        <w:t xml:space="preserve"> </w:t>
      </w:r>
      <w:sdt>
        <w:sdtPr>
          <w:rPr>
            <w:b w:val="0"/>
          </w:rPr>
          <w:id w:val="-1600099694"/>
          <w:placeholder>
            <w:docPart w:val="7842BD84731D449F8DADE085CAE02149"/>
          </w:placeholder>
        </w:sdtPr>
        <w:sdtEndPr/>
        <w:sdtContent>
          <w:r w:rsidR="00CC02E5" w:rsidRPr="00127700">
            <w:t>Skyclarys</w:t>
          </w:r>
        </w:sdtContent>
      </w:sdt>
      <w:sdt>
        <w:sdtPr>
          <w:rPr>
            <w:b w:val="0"/>
            <w:vertAlign w:val="superscript"/>
          </w:rPr>
          <w:id w:val="191419323"/>
          <w:placeholder>
            <w:docPart w:val="C9FBE300ABC444859FF3E1B93F7C963B"/>
          </w:placeholder>
          <w:dropDownList>
            <w:listItem w:value="Choose an item."/>
            <w:listItem w:displayText="®" w:value="®"/>
            <w:listItem w:displayText="™" w:value="™"/>
          </w:dropDownList>
        </w:sdtPr>
        <w:sdtEndPr/>
        <w:sdtContent>
          <w:r w:rsidR="00CC02E5">
            <w:rPr>
              <w:vertAlign w:val="superscript"/>
            </w:rPr>
            <w:t>®</w:t>
          </w:r>
        </w:sdtContent>
      </w:sdt>
      <w:r w:rsidR="00CC02E5" w:rsidRPr="00417F7D">
        <w:rPr>
          <w:bCs/>
        </w:rPr>
        <w:t xml:space="preserve"> (</w:t>
      </w:r>
      <w:sdt>
        <w:sdtPr>
          <w:rPr>
            <w:b w:val="0"/>
          </w:rPr>
          <w:id w:val="-1530322619"/>
          <w:placeholder>
            <w:docPart w:val="DAA0482ACA724332BE8D6B16D47F5D7B"/>
          </w:placeholder>
        </w:sdtPr>
        <w:sdtEndPr/>
        <w:sdtContent>
          <w:r w:rsidR="00CC02E5" w:rsidRPr="00127700">
            <w:t>omaveloxolone</w:t>
          </w:r>
        </w:sdtContent>
      </w:sdt>
      <w:r w:rsidR="00CC02E5" w:rsidRPr="00417F7D">
        <w:rPr>
          <w:bCs/>
        </w:rPr>
        <w:t>) [</w:t>
      </w:r>
      <w:sdt>
        <w:sdtPr>
          <w:rPr>
            <w:b w:val="0"/>
          </w:rPr>
          <w:id w:val="1811668447"/>
          <w:placeholder>
            <w:docPart w:val="BDE1D3E61C6A43CAA4B83094FB7116D2"/>
          </w:placeholder>
        </w:sdtPr>
        <w:sdtEndPr/>
        <w:sdtContent>
          <w:r w:rsidR="00CC02E5" w:rsidRPr="00127700">
            <w:t>Reata Pharmaceuticals</w:t>
          </w:r>
        </w:sdtContent>
      </w:sdt>
      <w:r w:rsidR="00CC02E5" w:rsidRPr="00417F7D">
        <w:rPr>
          <w:bCs/>
        </w:rPr>
        <w:t>]</w:t>
      </w:r>
      <w:r w:rsidR="00CC02E5">
        <w:rPr>
          <w:bCs/>
        </w:rPr>
        <w:t xml:space="preserve"> </w:t>
      </w:r>
      <w:r w:rsidR="00CC02E5" w:rsidRPr="004134D1">
        <w:rPr>
          <w:b w:val="0"/>
          <w:bCs/>
        </w:rPr>
        <w:t>(skye klar’ is)</w:t>
      </w:r>
    </w:p>
    <w:p w14:paraId="04F4922B" w14:textId="75481DBE" w:rsidR="00507DA1" w:rsidRPr="00BC46EE" w:rsidRDefault="00CE4651" w:rsidP="0022031B">
      <w:pPr>
        <w:pStyle w:val="tbody"/>
        <w:rPr>
          <w:rFonts w:cs="Arial"/>
        </w:rPr>
      </w:pPr>
      <w:r w:rsidRPr="00BC46EE">
        <w:rPr>
          <w:rFonts w:cs="Arial"/>
        </w:rPr>
        <w:t>Dosage Formulations:</w:t>
      </w:r>
      <w:r w:rsidR="00507DA1" w:rsidRPr="00BC46EE">
        <w:rPr>
          <w:rFonts w:cs="Arial"/>
        </w:rPr>
        <w:t xml:space="preserve"> </w:t>
      </w:r>
      <w:r w:rsidR="00F57CB4" w:rsidRPr="004134D1">
        <w:rPr>
          <w:rFonts w:cs="Arial"/>
          <w:b w:val="0"/>
          <w:bCs/>
        </w:rPr>
        <w:t>50 mg</w:t>
      </w:r>
      <w:r w:rsidR="00F57CB4">
        <w:rPr>
          <w:rFonts w:cs="Arial"/>
        </w:rPr>
        <w:t xml:space="preserve"> </w:t>
      </w:r>
      <w:r w:rsidR="004F13C2" w:rsidRPr="004F13C2">
        <w:rPr>
          <w:rFonts w:cs="Arial"/>
          <w:b w:val="0"/>
          <w:bCs/>
        </w:rPr>
        <w:t>Capsules</w:t>
      </w:r>
    </w:p>
    <w:p w14:paraId="6587D11D" w14:textId="6E3B3E5E" w:rsidR="00507DA1" w:rsidRPr="00BC46EE" w:rsidRDefault="00CE4651" w:rsidP="0022031B">
      <w:pPr>
        <w:pStyle w:val="tbody"/>
        <w:rPr>
          <w:rFonts w:cs="Arial"/>
          <w:b w:val="0"/>
          <w:bCs/>
        </w:rPr>
      </w:pPr>
      <w:r w:rsidRPr="00BC46EE">
        <w:rPr>
          <w:rFonts w:cs="Arial"/>
        </w:rPr>
        <w:t xml:space="preserve">FDA Approval Date: </w:t>
      </w:r>
      <w:r w:rsidR="00DB7E22" w:rsidRPr="00DB7E22">
        <w:rPr>
          <w:rFonts w:cs="Arial"/>
          <w:b w:val="0"/>
          <w:bCs/>
        </w:rPr>
        <w:t>February 28, 2023</w:t>
      </w:r>
    </w:p>
    <w:p w14:paraId="4BEA5866" w14:textId="7C28E9D5" w:rsidR="00CE4651" w:rsidRPr="00BC46EE" w:rsidRDefault="00507DA1" w:rsidP="0022031B">
      <w:pPr>
        <w:pStyle w:val="tbody"/>
        <w:rPr>
          <w:rFonts w:cs="Arial"/>
          <w:b w:val="0"/>
          <w:bCs/>
        </w:rPr>
      </w:pPr>
      <w:r w:rsidRPr="00BC46EE">
        <w:rPr>
          <w:rFonts w:cs="Arial"/>
        </w:rPr>
        <w:t>F</w:t>
      </w:r>
      <w:r w:rsidR="00CE4651" w:rsidRPr="00BC46EE">
        <w:rPr>
          <w:rFonts w:cs="Arial"/>
        </w:rPr>
        <w:t>DB File Date:</w:t>
      </w:r>
      <w:r w:rsidRPr="00BC46EE">
        <w:rPr>
          <w:rFonts w:cs="Arial"/>
        </w:rPr>
        <w:t xml:space="preserve"> </w:t>
      </w:r>
      <w:r w:rsidR="00F101B8" w:rsidRPr="00F101B8">
        <w:rPr>
          <w:rFonts w:cs="Arial"/>
          <w:b w:val="0"/>
          <w:bCs/>
        </w:rPr>
        <w:t>March 19, 2023</w:t>
      </w:r>
    </w:p>
    <w:p w14:paraId="2726A013" w14:textId="125D943C" w:rsidR="004C5767" w:rsidRPr="00BC46EE" w:rsidRDefault="004C5767" w:rsidP="0022031B">
      <w:pPr>
        <w:pStyle w:val="tbody"/>
        <w:rPr>
          <w:rFonts w:cs="Arial"/>
        </w:rPr>
      </w:pPr>
      <w:r w:rsidRPr="00BC46EE">
        <w:rPr>
          <w:rFonts w:cs="Arial"/>
        </w:rPr>
        <w:t xml:space="preserve">Prepared For: </w:t>
      </w:r>
      <w:r w:rsidR="00EE613F" w:rsidRPr="00BC46EE">
        <w:rPr>
          <w:rFonts w:cs="Arial"/>
          <w:b w:val="0"/>
          <w:bCs/>
        </w:rPr>
        <w:t>MO HealthNet</w:t>
      </w:r>
      <w:r w:rsidRPr="00BC46EE">
        <w:rPr>
          <w:rFonts w:cs="Arial"/>
        </w:rPr>
        <w:tab/>
      </w:r>
    </w:p>
    <w:p w14:paraId="0FD7BA18" w14:textId="5244A7E2" w:rsidR="004C5767" w:rsidRPr="00BC46EE" w:rsidRDefault="004C5767" w:rsidP="0022031B">
      <w:pPr>
        <w:pStyle w:val="tbody"/>
        <w:rPr>
          <w:sz w:val="18"/>
          <w:szCs w:val="18"/>
        </w:rPr>
      </w:pPr>
      <w:r w:rsidRPr="00BC46EE">
        <w:rPr>
          <w:rFonts w:cs="Arial"/>
        </w:rPr>
        <w:t xml:space="preserve">Prepared By: </w:t>
      </w:r>
      <w:r w:rsidR="00303B21" w:rsidRPr="00BC46EE">
        <w:rPr>
          <w:rFonts w:cs="Arial"/>
          <w:b w:val="0"/>
          <w:bCs/>
        </w:rPr>
        <w:t>Conduent</w:t>
      </w:r>
      <w:r w:rsidR="00507DA1" w:rsidRPr="00BC46EE">
        <w:rPr>
          <w:rFonts w:cs="Arial"/>
          <w:b w:val="0"/>
          <w:bCs/>
        </w:rPr>
        <w:t xml:space="preserve"> Clinical Services</w:t>
      </w:r>
      <w:r w:rsidRPr="00BC46EE">
        <w:rPr>
          <w:sz w:val="18"/>
          <w:szCs w:val="18"/>
        </w:rPr>
        <w:tab/>
      </w:r>
    </w:p>
    <w:p w14:paraId="6413BFE8" w14:textId="73350972" w:rsidR="00AE77DB" w:rsidRPr="00BC46EE" w:rsidRDefault="005E10EC" w:rsidP="00BC46EE">
      <w:pPr>
        <w:pStyle w:val="Style2"/>
      </w:pPr>
      <w:r w:rsidRPr="00BC46EE">
        <w:t>Indication</w:t>
      </w:r>
    </w:p>
    <w:p w14:paraId="338B4332" w14:textId="77777777" w:rsidR="005A769A" w:rsidRDefault="005A769A" w:rsidP="00307BE0">
      <w:pPr>
        <w:rPr>
          <w:rFonts w:eastAsia="Arial"/>
          <w:b/>
        </w:rPr>
      </w:pPr>
      <w:r w:rsidRPr="005A769A">
        <w:rPr>
          <w:rFonts w:eastAsia="Arial"/>
        </w:rPr>
        <w:t>Treatment of Friedreich’s ataxia (FA) in adults and adolescents ≥ 16 years of age.</w:t>
      </w:r>
    </w:p>
    <w:p w14:paraId="6413C027" w14:textId="5BBB17C2" w:rsidR="00AE77DB" w:rsidRPr="00BC46EE" w:rsidRDefault="00777829" w:rsidP="00BC46EE">
      <w:pPr>
        <w:pStyle w:val="Style2"/>
      </w:pPr>
      <w:r w:rsidRPr="00BC46EE">
        <w:t>Mechanism of Action</w:t>
      </w:r>
    </w:p>
    <w:p w14:paraId="65D893BE" w14:textId="77777777" w:rsidR="00234BE2" w:rsidRDefault="00234BE2" w:rsidP="00307BE0">
      <w:pPr>
        <w:rPr>
          <w:rFonts w:eastAsia="Arial"/>
          <w:b/>
        </w:rPr>
      </w:pPr>
      <w:r w:rsidRPr="00234BE2">
        <w:rPr>
          <w:rFonts w:eastAsia="Arial"/>
        </w:rPr>
        <w:t>The precise mechanism by which Skyclarys exerts its therapeutic effect in patients with Friedreich’s ataxia is unknown. Skyclarys has been shown to activate the nuclear factor (erythroid-derived)-like 2 (Nrf2) pathway in vitro and in vivo in animals and humans. The Nrf2 pathway is involved in the cellular response to oxidative stress.</w:t>
      </w:r>
    </w:p>
    <w:p w14:paraId="6413C035" w14:textId="415E9DCD" w:rsidR="00AE77DB" w:rsidRPr="00BC46EE" w:rsidRDefault="00777829" w:rsidP="00BC46EE">
      <w:pPr>
        <w:pStyle w:val="Style2"/>
      </w:pPr>
      <w:r w:rsidRPr="00BC46EE">
        <w:t>Dose/Administration</w:t>
      </w:r>
    </w:p>
    <w:p w14:paraId="1A2BD832" w14:textId="77777777" w:rsidR="00FD4A37" w:rsidRPr="00944AE4" w:rsidRDefault="00FD4A37" w:rsidP="001E676B">
      <w:pPr>
        <w:pStyle w:val="NoSpacing"/>
        <w:numPr>
          <w:ilvl w:val="0"/>
          <w:numId w:val="12"/>
        </w:numPr>
        <w:rPr>
          <w:sz w:val="20"/>
          <w:szCs w:val="20"/>
        </w:rPr>
      </w:pPr>
      <w:r w:rsidRPr="00944AE4">
        <w:rPr>
          <w:sz w:val="20"/>
          <w:szCs w:val="20"/>
        </w:rPr>
        <w:t>The recommended dosage of Skyclarys is 150</w:t>
      </w:r>
      <w:r>
        <w:rPr>
          <w:sz w:val="20"/>
          <w:szCs w:val="20"/>
        </w:rPr>
        <w:t xml:space="preserve"> </w:t>
      </w:r>
      <w:r w:rsidRPr="00944AE4">
        <w:rPr>
          <w:sz w:val="20"/>
          <w:szCs w:val="20"/>
        </w:rPr>
        <w:t xml:space="preserve">mg (3 capsules) taken orally once daily. </w:t>
      </w:r>
    </w:p>
    <w:p w14:paraId="1F11A705" w14:textId="77777777" w:rsidR="00FD4A37" w:rsidRDefault="00FD4A37" w:rsidP="001E676B">
      <w:pPr>
        <w:pStyle w:val="NoSpacing"/>
        <w:numPr>
          <w:ilvl w:val="0"/>
          <w:numId w:val="12"/>
        </w:numPr>
        <w:rPr>
          <w:sz w:val="20"/>
          <w:szCs w:val="20"/>
        </w:rPr>
      </w:pPr>
      <w:r w:rsidRPr="00944AE4">
        <w:rPr>
          <w:sz w:val="20"/>
          <w:szCs w:val="20"/>
        </w:rPr>
        <w:t>Administer Skyclarys on an empty stomach at least one hour before eating</w:t>
      </w:r>
    </w:p>
    <w:p w14:paraId="03412EC8" w14:textId="77777777" w:rsidR="00FD4A37" w:rsidRDefault="00FD4A37" w:rsidP="001E676B">
      <w:pPr>
        <w:pStyle w:val="NoSpacing"/>
        <w:numPr>
          <w:ilvl w:val="0"/>
          <w:numId w:val="11"/>
        </w:numPr>
        <w:rPr>
          <w:sz w:val="20"/>
          <w:szCs w:val="20"/>
        </w:rPr>
      </w:pPr>
      <w:r>
        <w:rPr>
          <w:sz w:val="20"/>
          <w:szCs w:val="20"/>
        </w:rPr>
        <w:t>Skyclarys capsules may be opened and sprinkled onto 2 tablespoons of applesauce for patients unable to swallow the entire capsule</w:t>
      </w:r>
    </w:p>
    <w:p w14:paraId="6413C03A" w14:textId="7B98EB28" w:rsidR="00AE77DB" w:rsidRPr="00BC46EE" w:rsidRDefault="00777829" w:rsidP="00BC46EE">
      <w:pPr>
        <w:pStyle w:val="Style2"/>
      </w:pPr>
      <w:r w:rsidRPr="00BC46EE">
        <w:t>Disease State Clinical Highlights</w:t>
      </w:r>
    </w:p>
    <w:p w14:paraId="393AA3F7" w14:textId="77777777" w:rsidR="00851ACE" w:rsidRPr="00A80723" w:rsidRDefault="00851ACE" w:rsidP="001E676B">
      <w:pPr>
        <w:pStyle w:val="NoSpacing"/>
        <w:numPr>
          <w:ilvl w:val="0"/>
          <w:numId w:val="10"/>
        </w:numPr>
        <w:rPr>
          <w:sz w:val="20"/>
          <w:szCs w:val="20"/>
        </w:rPr>
      </w:pPr>
      <w:bookmarkStart w:id="0" w:name="_Hlk34120952"/>
      <w:r w:rsidRPr="00A80723">
        <w:rPr>
          <w:sz w:val="20"/>
          <w:szCs w:val="20"/>
        </w:rPr>
        <w:t>FA is a rare, progressive, autosomal recessive genetic neurodegenerative disorder</w:t>
      </w:r>
      <w:r>
        <w:rPr>
          <w:sz w:val="20"/>
          <w:szCs w:val="20"/>
        </w:rPr>
        <w:t xml:space="preserve"> and </w:t>
      </w:r>
      <w:r w:rsidRPr="00A80723">
        <w:rPr>
          <w:sz w:val="20"/>
          <w:szCs w:val="20"/>
        </w:rPr>
        <w:t xml:space="preserve">is one of the most common hereditary ataxias. It primarily affects the function of the cerebellum, spinal cord, and peripheral nervous system. </w:t>
      </w:r>
      <w:r>
        <w:rPr>
          <w:sz w:val="20"/>
          <w:szCs w:val="20"/>
        </w:rPr>
        <w:t>FA</w:t>
      </w:r>
      <w:r w:rsidRPr="00A80723">
        <w:rPr>
          <w:sz w:val="20"/>
          <w:szCs w:val="20"/>
        </w:rPr>
        <w:t xml:space="preserve"> can also cause diabetes mellit</w:t>
      </w:r>
      <w:r>
        <w:rPr>
          <w:sz w:val="20"/>
          <w:szCs w:val="20"/>
        </w:rPr>
        <w:t>u</w:t>
      </w:r>
      <w:r w:rsidRPr="00A80723">
        <w:rPr>
          <w:sz w:val="20"/>
          <w:szCs w:val="20"/>
        </w:rPr>
        <w:t>s, cardiomyopathy, scoliosis, and pes cavus. Pes cavus is a type of foot deformity, where the arch becomes abnormally high due to selective denervation of the leg muscles</w:t>
      </w:r>
      <w:r>
        <w:rPr>
          <w:sz w:val="20"/>
          <w:szCs w:val="20"/>
        </w:rPr>
        <w:t>. Pes cavus</w:t>
      </w:r>
      <w:r w:rsidRPr="00A80723">
        <w:rPr>
          <w:sz w:val="20"/>
          <w:szCs w:val="20"/>
        </w:rPr>
        <w:t xml:space="preserve"> tends to worsen with the progression of the neurodegeneration seen in FA</w:t>
      </w:r>
      <w:r>
        <w:rPr>
          <w:sz w:val="20"/>
          <w:szCs w:val="20"/>
        </w:rPr>
        <w:t xml:space="preserve"> and</w:t>
      </w:r>
      <w:r w:rsidRPr="00A80723">
        <w:rPr>
          <w:sz w:val="20"/>
          <w:szCs w:val="20"/>
        </w:rPr>
        <w:t xml:space="preserve"> occurs in about half of the people diagnosed with FA. </w:t>
      </w:r>
    </w:p>
    <w:p w14:paraId="19B10BF5" w14:textId="77777777" w:rsidR="00851ACE" w:rsidRPr="00A80723" w:rsidRDefault="00851ACE" w:rsidP="001E676B">
      <w:pPr>
        <w:pStyle w:val="NoSpacing"/>
        <w:numPr>
          <w:ilvl w:val="0"/>
          <w:numId w:val="10"/>
        </w:numPr>
        <w:rPr>
          <w:sz w:val="20"/>
          <w:szCs w:val="20"/>
        </w:rPr>
      </w:pPr>
      <w:r w:rsidRPr="00A80723">
        <w:rPr>
          <w:sz w:val="20"/>
          <w:szCs w:val="20"/>
        </w:rPr>
        <w:t>The onset of FA is usually between the ages of 10 to 15</w:t>
      </w:r>
      <w:r>
        <w:rPr>
          <w:sz w:val="20"/>
          <w:szCs w:val="20"/>
        </w:rPr>
        <w:t xml:space="preserve"> years</w:t>
      </w:r>
      <w:r w:rsidRPr="00A80723">
        <w:rPr>
          <w:sz w:val="20"/>
          <w:szCs w:val="20"/>
        </w:rPr>
        <w:t xml:space="preserve"> but has been diagnosed in people from the ages of 2 to 50. FA typically is diagnosed before the age of 25. Late-onset FA is characterized by symptom onset after the age of 25 and is found in about 14% of patients diagnosed with FA. In very late-onset FA, symptoms present after the age of 40, </w:t>
      </w:r>
      <w:r>
        <w:rPr>
          <w:sz w:val="20"/>
          <w:szCs w:val="20"/>
        </w:rPr>
        <w:t>however</w:t>
      </w:r>
      <w:r w:rsidRPr="00A80723">
        <w:rPr>
          <w:sz w:val="20"/>
          <w:szCs w:val="20"/>
        </w:rPr>
        <w:t xml:space="preserve"> this diagnosis is very rare. Average time from onset to requiring a wheelchair is about 10 to 20 years. More than 95% of patients with FA will become wheelchair bound by 45 years of age. The average lifespan </w:t>
      </w:r>
      <w:r>
        <w:rPr>
          <w:sz w:val="20"/>
          <w:szCs w:val="20"/>
        </w:rPr>
        <w:t>of a patient with FA is abo</w:t>
      </w:r>
      <w:r w:rsidRPr="00A80723">
        <w:rPr>
          <w:sz w:val="20"/>
          <w:szCs w:val="20"/>
        </w:rPr>
        <w:t>ut 40 years</w:t>
      </w:r>
      <w:r>
        <w:rPr>
          <w:sz w:val="20"/>
          <w:szCs w:val="20"/>
        </w:rPr>
        <w:t>, w</w:t>
      </w:r>
      <w:r w:rsidRPr="00A80723">
        <w:rPr>
          <w:sz w:val="20"/>
          <w:szCs w:val="20"/>
        </w:rPr>
        <w:t xml:space="preserve">ith the main cause of death being cardiac dysfunction. </w:t>
      </w:r>
    </w:p>
    <w:p w14:paraId="38246596" w14:textId="0650A8F9" w:rsidR="00851ACE" w:rsidRDefault="00851ACE" w:rsidP="001E676B">
      <w:pPr>
        <w:pStyle w:val="NoSpacing"/>
        <w:numPr>
          <w:ilvl w:val="0"/>
          <w:numId w:val="10"/>
        </w:numPr>
        <w:rPr>
          <w:sz w:val="20"/>
          <w:szCs w:val="20"/>
        </w:rPr>
      </w:pPr>
      <w:r w:rsidRPr="00A80723">
        <w:rPr>
          <w:sz w:val="20"/>
          <w:szCs w:val="20"/>
        </w:rPr>
        <w:t xml:space="preserve">FA is diagnosed though genetic testing. In about 98% of people with FA, the most </w:t>
      </w:r>
      <w:r>
        <w:rPr>
          <w:sz w:val="20"/>
          <w:szCs w:val="20"/>
        </w:rPr>
        <w:t xml:space="preserve">common </w:t>
      </w:r>
      <w:r w:rsidRPr="00A80723">
        <w:rPr>
          <w:sz w:val="20"/>
          <w:szCs w:val="20"/>
        </w:rPr>
        <w:t>cause of the disease is a homozygous guanine–adenine–adenine triplet repeat expansion (GAA) in the frataxin (</w:t>
      </w:r>
      <w:r w:rsidRPr="004134D1">
        <w:rPr>
          <w:i/>
          <w:iCs/>
          <w:sz w:val="20"/>
          <w:szCs w:val="20"/>
        </w:rPr>
        <w:t>FXN</w:t>
      </w:r>
      <w:r w:rsidRPr="00A80723">
        <w:rPr>
          <w:sz w:val="20"/>
          <w:szCs w:val="20"/>
        </w:rPr>
        <w:t>) gene. These patients have more than 120 repeats of the GAA sequence. The more repeats the patient has, the more likely they are to have disease onset at a young age, more severe symptoms, more rapid disease progression</w:t>
      </w:r>
      <w:r w:rsidR="00F57CB4">
        <w:rPr>
          <w:sz w:val="20"/>
          <w:szCs w:val="20"/>
        </w:rPr>
        <w:t>,</w:t>
      </w:r>
      <w:r w:rsidRPr="00A80723">
        <w:rPr>
          <w:sz w:val="20"/>
          <w:szCs w:val="20"/>
        </w:rPr>
        <w:t xml:space="preserve"> and an earlier death. For every 100 GAA repeats, there is an earlier disease onset of 2.3 years. Less than 300 repeats is linked to later disease onset, less severe symptoms, and a better prognosis. In the other 2% of </w:t>
      </w:r>
      <w:r>
        <w:rPr>
          <w:sz w:val="20"/>
          <w:szCs w:val="20"/>
        </w:rPr>
        <w:t>patients</w:t>
      </w:r>
      <w:r w:rsidRPr="00A80723">
        <w:rPr>
          <w:sz w:val="20"/>
          <w:szCs w:val="20"/>
        </w:rPr>
        <w:t xml:space="preserve"> diagnosed with FA, the disease is due to compound heterozygosity for a GAA expansion and a point mutation or deletion</w:t>
      </w:r>
      <w:r>
        <w:rPr>
          <w:sz w:val="20"/>
          <w:szCs w:val="20"/>
        </w:rPr>
        <w:t xml:space="preserve"> with</w:t>
      </w:r>
      <w:r w:rsidRPr="00A80723">
        <w:rPr>
          <w:sz w:val="20"/>
          <w:szCs w:val="20"/>
        </w:rPr>
        <w:t xml:space="preserve"> Gly130Val </w:t>
      </w:r>
      <w:r>
        <w:rPr>
          <w:sz w:val="20"/>
          <w:szCs w:val="20"/>
        </w:rPr>
        <w:t>being</w:t>
      </w:r>
      <w:r w:rsidRPr="00A80723">
        <w:rPr>
          <w:sz w:val="20"/>
          <w:szCs w:val="20"/>
        </w:rPr>
        <w:t xml:space="preserve"> the most common point mutation</w:t>
      </w:r>
      <w:r>
        <w:rPr>
          <w:sz w:val="20"/>
          <w:szCs w:val="20"/>
        </w:rPr>
        <w:t>. T</w:t>
      </w:r>
      <w:r w:rsidRPr="00A80723">
        <w:rPr>
          <w:sz w:val="20"/>
          <w:szCs w:val="20"/>
        </w:rPr>
        <w:t xml:space="preserve">hese patients usually have a later age of onset and slower disease progression, and do not have dysarthria or cardiomyopathy. </w:t>
      </w:r>
    </w:p>
    <w:p w14:paraId="0623C9F0" w14:textId="77777777" w:rsidR="008D31F4" w:rsidRPr="00A80723" w:rsidRDefault="008D31F4" w:rsidP="001E676B">
      <w:pPr>
        <w:pStyle w:val="NoSpacing"/>
        <w:numPr>
          <w:ilvl w:val="0"/>
          <w:numId w:val="10"/>
        </w:numPr>
        <w:rPr>
          <w:sz w:val="20"/>
          <w:szCs w:val="20"/>
        </w:rPr>
      </w:pPr>
      <w:r w:rsidRPr="00A80723">
        <w:rPr>
          <w:sz w:val="20"/>
          <w:szCs w:val="20"/>
        </w:rPr>
        <w:lastRenderedPageBreak/>
        <w:t xml:space="preserve">Because decreased FXN protein is produced, </w:t>
      </w:r>
      <w:r>
        <w:rPr>
          <w:sz w:val="20"/>
          <w:szCs w:val="20"/>
        </w:rPr>
        <w:t>disease</w:t>
      </w:r>
      <w:r w:rsidRPr="00A80723">
        <w:rPr>
          <w:sz w:val="20"/>
          <w:szCs w:val="20"/>
        </w:rPr>
        <w:t xml:space="preserve"> results in iron accumulation, mitochondrial dysfunction</w:t>
      </w:r>
      <w:r>
        <w:rPr>
          <w:sz w:val="20"/>
          <w:szCs w:val="20"/>
        </w:rPr>
        <w:t>,</w:t>
      </w:r>
      <w:r w:rsidRPr="00A80723">
        <w:rPr>
          <w:sz w:val="20"/>
          <w:szCs w:val="20"/>
        </w:rPr>
        <w:t xml:space="preserve"> and oxidative damage. This causes the neurological symptoms, diabetes mellit</w:t>
      </w:r>
      <w:r>
        <w:rPr>
          <w:sz w:val="20"/>
          <w:szCs w:val="20"/>
        </w:rPr>
        <w:t>u</w:t>
      </w:r>
      <w:r w:rsidRPr="00A80723">
        <w:rPr>
          <w:sz w:val="20"/>
          <w:szCs w:val="20"/>
        </w:rPr>
        <w:t xml:space="preserve">s, cardiomyopathy and musculoskeletal deformities associated with FA. </w:t>
      </w:r>
    </w:p>
    <w:p w14:paraId="310CAA52" w14:textId="77777777" w:rsidR="00502319" w:rsidRPr="00502319" w:rsidRDefault="00502319" w:rsidP="001E676B">
      <w:pPr>
        <w:pStyle w:val="ListParagraph"/>
        <w:numPr>
          <w:ilvl w:val="0"/>
          <w:numId w:val="10"/>
        </w:numPr>
        <w:rPr>
          <w:rFonts w:eastAsia="Arial"/>
          <w:color w:val="000000" w:themeColor="text1"/>
          <w:szCs w:val="20"/>
        </w:rPr>
      </w:pPr>
      <w:r w:rsidRPr="00502319">
        <w:rPr>
          <w:rFonts w:eastAsia="Arial"/>
          <w:color w:val="000000" w:themeColor="text1"/>
          <w:szCs w:val="20"/>
        </w:rPr>
        <w:t>The overall prevalence of FA is approximately 1 in 40,000 to 50,000 people. An estimated 5,000 individuals in the United States and about 15,000 to 22,000 worldwide have FA.</w:t>
      </w:r>
    </w:p>
    <w:p w14:paraId="53FCF173" w14:textId="6C29ED60" w:rsidR="00931775" w:rsidRPr="00485F70" w:rsidRDefault="00485F70" w:rsidP="001E676B">
      <w:pPr>
        <w:pStyle w:val="NoSpacing"/>
        <w:numPr>
          <w:ilvl w:val="0"/>
          <w:numId w:val="10"/>
        </w:numPr>
        <w:rPr>
          <w:color w:val="000000" w:themeColor="text1"/>
          <w:sz w:val="20"/>
          <w:szCs w:val="20"/>
        </w:rPr>
      </w:pPr>
      <w:r w:rsidRPr="00485F70">
        <w:rPr>
          <w:color w:val="000000" w:themeColor="text1"/>
          <w:sz w:val="20"/>
          <w:szCs w:val="20"/>
        </w:rPr>
        <w:t>There is no cure for FA and there are currently no other pharmacological agents to treat, modify, delay, or prevent the disease. Treatment is supportive and symptomatic in nature.</w:t>
      </w:r>
    </w:p>
    <w:p w14:paraId="050492C1" w14:textId="4F1840ED" w:rsidR="00BC5635" w:rsidRPr="00C02553" w:rsidRDefault="003A43A6" w:rsidP="00BC46EE">
      <w:pPr>
        <w:pStyle w:val="Style2"/>
      </w:pPr>
      <w:r>
        <w:t>Drug Clinical Highlights</w:t>
      </w:r>
    </w:p>
    <w:bookmarkEnd w:id="0"/>
    <w:p w14:paraId="6964B341" w14:textId="77777777" w:rsidR="009A6C65" w:rsidRDefault="009A6C65" w:rsidP="001E676B">
      <w:pPr>
        <w:pStyle w:val="NoSpacing"/>
        <w:numPr>
          <w:ilvl w:val="0"/>
          <w:numId w:val="13"/>
        </w:numPr>
        <w:rPr>
          <w:sz w:val="20"/>
          <w:szCs w:val="20"/>
        </w:rPr>
      </w:pPr>
      <w:r>
        <w:rPr>
          <w:sz w:val="20"/>
          <w:szCs w:val="20"/>
        </w:rPr>
        <w:t>Skyclarys</w:t>
      </w:r>
      <w:r w:rsidRPr="008C2739">
        <w:rPr>
          <w:sz w:val="20"/>
          <w:szCs w:val="20"/>
        </w:rPr>
        <w:t xml:space="preserve"> is the first treatment available for Friedreich’s ataxia in the United States.</w:t>
      </w:r>
    </w:p>
    <w:p w14:paraId="573DA2B9" w14:textId="77777777" w:rsidR="009A6C65" w:rsidRDefault="009A6C65" w:rsidP="001E676B">
      <w:pPr>
        <w:pStyle w:val="NoSpacing"/>
        <w:numPr>
          <w:ilvl w:val="0"/>
          <w:numId w:val="13"/>
        </w:numPr>
        <w:rPr>
          <w:sz w:val="20"/>
          <w:szCs w:val="20"/>
        </w:rPr>
      </w:pPr>
      <w:r>
        <w:rPr>
          <w:sz w:val="20"/>
          <w:szCs w:val="20"/>
        </w:rPr>
        <w:t xml:space="preserve">Skyclarys </w:t>
      </w:r>
      <w:r w:rsidRPr="00922DFA">
        <w:rPr>
          <w:sz w:val="20"/>
          <w:szCs w:val="20"/>
        </w:rPr>
        <w:t>received fast track designation and a rare pediatric disease designation from the FDA</w:t>
      </w:r>
      <w:r>
        <w:rPr>
          <w:sz w:val="20"/>
          <w:szCs w:val="20"/>
        </w:rPr>
        <w:t>.</w:t>
      </w:r>
    </w:p>
    <w:p w14:paraId="72987270" w14:textId="77777777" w:rsidR="009A6C65" w:rsidRDefault="009A6C65" w:rsidP="001E676B">
      <w:pPr>
        <w:pStyle w:val="NoSpacing"/>
        <w:numPr>
          <w:ilvl w:val="0"/>
          <w:numId w:val="13"/>
        </w:numPr>
        <w:rPr>
          <w:sz w:val="20"/>
          <w:szCs w:val="20"/>
        </w:rPr>
      </w:pPr>
      <w:r w:rsidRPr="0087155D">
        <w:rPr>
          <w:sz w:val="20"/>
          <w:szCs w:val="20"/>
        </w:rPr>
        <w:t>Skyclarys will only be available through the specialty pharmacy, Biologics by McKesson.</w:t>
      </w:r>
    </w:p>
    <w:p w14:paraId="5D6B2DB8" w14:textId="77777777" w:rsidR="009A6C65" w:rsidRDefault="009A6C65" w:rsidP="001E676B">
      <w:pPr>
        <w:pStyle w:val="NoSpacing"/>
        <w:numPr>
          <w:ilvl w:val="0"/>
          <w:numId w:val="13"/>
        </w:numPr>
        <w:rPr>
          <w:sz w:val="20"/>
          <w:szCs w:val="20"/>
        </w:rPr>
      </w:pPr>
      <w:r w:rsidRPr="008C2739">
        <w:rPr>
          <w:sz w:val="20"/>
          <w:szCs w:val="20"/>
        </w:rPr>
        <w:t>Contraindications: none</w:t>
      </w:r>
    </w:p>
    <w:p w14:paraId="73C5CF92" w14:textId="77777777" w:rsidR="009A6C65" w:rsidRDefault="009A6C65" w:rsidP="001E676B">
      <w:pPr>
        <w:pStyle w:val="NoSpacing"/>
        <w:numPr>
          <w:ilvl w:val="0"/>
          <w:numId w:val="13"/>
        </w:numPr>
        <w:rPr>
          <w:sz w:val="20"/>
          <w:szCs w:val="20"/>
        </w:rPr>
      </w:pPr>
      <w:r w:rsidRPr="008F64A9">
        <w:rPr>
          <w:sz w:val="20"/>
          <w:szCs w:val="20"/>
        </w:rPr>
        <w:t xml:space="preserve">Adverse Drug Reactions (ADRs): </w:t>
      </w:r>
      <w:r>
        <w:rPr>
          <w:sz w:val="20"/>
          <w:szCs w:val="20"/>
        </w:rPr>
        <w:t>The m</w:t>
      </w:r>
      <w:r w:rsidRPr="008F64A9">
        <w:rPr>
          <w:sz w:val="20"/>
          <w:szCs w:val="20"/>
        </w:rPr>
        <w:t>ost common adverse reactions (incidence ≥</w:t>
      </w:r>
      <w:r>
        <w:rPr>
          <w:sz w:val="20"/>
          <w:szCs w:val="20"/>
        </w:rPr>
        <w:t xml:space="preserve"> </w:t>
      </w:r>
      <w:r w:rsidRPr="008F64A9">
        <w:rPr>
          <w:sz w:val="20"/>
          <w:szCs w:val="20"/>
        </w:rPr>
        <w:t>20% and greater than placebo)</w:t>
      </w:r>
      <w:r>
        <w:rPr>
          <w:sz w:val="20"/>
          <w:szCs w:val="20"/>
        </w:rPr>
        <w:t xml:space="preserve"> were</w:t>
      </w:r>
      <w:r w:rsidRPr="008F64A9">
        <w:rPr>
          <w:sz w:val="20"/>
          <w:szCs w:val="20"/>
        </w:rPr>
        <w:t xml:space="preserve"> </w:t>
      </w:r>
      <w:r>
        <w:rPr>
          <w:sz w:val="20"/>
          <w:szCs w:val="20"/>
        </w:rPr>
        <w:t>i</w:t>
      </w:r>
      <w:r w:rsidRPr="008F64A9">
        <w:rPr>
          <w:sz w:val="20"/>
          <w:szCs w:val="20"/>
        </w:rPr>
        <w:t>ncreased alanine aminotransferase (ALT)</w:t>
      </w:r>
      <w:r>
        <w:rPr>
          <w:sz w:val="20"/>
          <w:szCs w:val="20"/>
        </w:rPr>
        <w:t xml:space="preserve">, increased </w:t>
      </w:r>
      <w:r w:rsidRPr="008F64A9">
        <w:rPr>
          <w:sz w:val="20"/>
          <w:szCs w:val="20"/>
        </w:rPr>
        <w:t>aspartate aminotransferase</w:t>
      </w:r>
      <w:r>
        <w:rPr>
          <w:sz w:val="20"/>
          <w:szCs w:val="20"/>
        </w:rPr>
        <w:t>,</w:t>
      </w:r>
      <w:r w:rsidRPr="008F64A9">
        <w:rPr>
          <w:sz w:val="20"/>
          <w:szCs w:val="20"/>
        </w:rPr>
        <w:t xml:space="preserve"> (AST), headache, nausea, abdominal pain, fatigue, diarrhea, and musculoskeletal pain.</w:t>
      </w:r>
    </w:p>
    <w:p w14:paraId="06B90B2E" w14:textId="77777777" w:rsidR="009A6C65" w:rsidRDefault="009A6C65" w:rsidP="001E676B">
      <w:pPr>
        <w:pStyle w:val="NoSpacing"/>
        <w:numPr>
          <w:ilvl w:val="0"/>
          <w:numId w:val="13"/>
        </w:numPr>
        <w:contextualSpacing/>
        <w:rPr>
          <w:sz w:val="20"/>
          <w:szCs w:val="20"/>
        </w:rPr>
      </w:pPr>
      <w:r w:rsidRPr="008C2739">
        <w:rPr>
          <w:sz w:val="20"/>
          <w:szCs w:val="20"/>
        </w:rPr>
        <w:t>Warnings and Precautions:</w:t>
      </w:r>
    </w:p>
    <w:p w14:paraId="03EE8FFF" w14:textId="77777777" w:rsidR="009A6C65" w:rsidRDefault="009A6C65" w:rsidP="001E676B">
      <w:pPr>
        <w:pStyle w:val="NoSpacing"/>
        <w:numPr>
          <w:ilvl w:val="1"/>
          <w:numId w:val="13"/>
        </w:numPr>
        <w:ind w:left="720"/>
        <w:contextualSpacing/>
        <w:rPr>
          <w:sz w:val="20"/>
          <w:szCs w:val="20"/>
        </w:rPr>
      </w:pPr>
      <w:r w:rsidRPr="008C2739">
        <w:rPr>
          <w:sz w:val="20"/>
          <w:szCs w:val="20"/>
        </w:rPr>
        <w:t>Elevation of Aminotransferases: Monitor ALT, AST, and total bilirubin prior to initiation, every month for the first 3 months of treatment, and periodically thereafter.</w:t>
      </w:r>
    </w:p>
    <w:p w14:paraId="7216EA86" w14:textId="77777777" w:rsidR="009A6C65" w:rsidRDefault="009A6C65" w:rsidP="001E676B">
      <w:pPr>
        <w:pStyle w:val="NoSpacing"/>
        <w:numPr>
          <w:ilvl w:val="1"/>
          <w:numId w:val="13"/>
        </w:numPr>
        <w:ind w:left="720"/>
        <w:rPr>
          <w:sz w:val="20"/>
          <w:szCs w:val="20"/>
        </w:rPr>
      </w:pPr>
      <w:r w:rsidRPr="008C2739">
        <w:rPr>
          <w:sz w:val="20"/>
          <w:szCs w:val="20"/>
        </w:rPr>
        <w:t xml:space="preserve">Elevation of B-type Natriuretic Peptide (BNP): Advise patients of signs and symptoms of fluid overload. </w:t>
      </w:r>
    </w:p>
    <w:p w14:paraId="742FFC0E" w14:textId="77777777" w:rsidR="009A6C65" w:rsidRDefault="009A6C65" w:rsidP="001E676B">
      <w:pPr>
        <w:pStyle w:val="NoSpacing"/>
        <w:numPr>
          <w:ilvl w:val="1"/>
          <w:numId w:val="13"/>
        </w:numPr>
        <w:ind w:left="720"/>
        <w:rPr>
          <w:sz w:val="20"/>
          <w:szCs w:val="20"/>
        </w:rPr>
      </w:pPr>
      <w:r w:rsidRPr="008C2739">
        <w:rPr>
          <w:sz w:val="20"/>
          <w:szCs w:val="20"/>
        </w:rPr>
        <w:t>Lipid Abnormalities: Monitor cholesterol periodically during treatment.</w:t>
      </w:r>
    </w:p>
    <w:p w14:paraId="6FE59C25" w14:textId="77777777" w:rsidR="009A6C65" w:rsidRDefault="009A6C65" w:rsidP="001E676B">
      <w:pPr>
        <w:pStyle w:val="NoSpacing"/>
        <w:numPr>
          <w:ilvl w:val="0"/>
          <w:numId w:val="13"/>
        </w:numPr>
        <w:rPr>
          <w:sz w:val="20"/>
          <w:szCs w:val="20"/>
        </w:rPr>
      </w:pPr>
      <w:r w:rsidRPr="008C2739">
        <w:rPr>
          <w:sz w:val="20"/>
          <w:szCs w:val="20"/>
        </w:rPr>
        <w:t>Drug Interactions:</w:t>
      </w:r>
    </w:p>
    <w:p w14:paraId="56A42968" w14:textId="77777777" w:rsidR="009A6C65" w:rsidRPr="006F7C4D" w:rsidRDefault="009A6C65" w:rsidP="001E676B">
      <w:pPr>
        <w:pStyle w:val="NoSpacing"/>
        <w:numPr>
          <w:ilvl w:val="1"/>
          <w:numId w:val="13"/>
        </w:numPr>
        <w:ind w:left="720"/>
        <w:rPr>
          <w:sz w:val="20"/>
          <w:szCs w:val="20"/>
        </w:rPr>
      </w:pPr>
      <w:r w:rsidRPr="003A3C7A">
        <w:rPr>
          <w:sz w:val="20"/>
          <w:szCs w:val="20"/>
        </w:rPr>
        <w:t>Recommended Dosage with Concomitant Use of CYP3A4 Inhibitors</w:t>
      </w:r>
      <w:r>
        <w:rPr>
          <w:sz w:val="20"/>
          <w:szCs w:val="20"/>
        </w:rPr>
        <w:t xml:space="preserve"> </w:t>
      </w:r>
      <w:r w:rsidRPr="006F7C4D">
        <w:rPr>
          <w:sz w:val="20"/>
          <w:szCs w:val="20"/>
        </w:rPr>
        <w:t>and Inducers:</w:t>
      </w:r>
    </w:p>
    <w:tbl>
      <w:tblPr>
        <w:tblStyle w:val="TableGrid"/>
        <w:tblW w:w="9450" w:type="dxa"/>
        <w:tblInd w:w="175" w:type="dxa"/>
        <w:tblLayout w:type="fixed"/>
        <w:tblLook w:val="04A0" w:firstRow="1" w:lastRow="0" w:firstColumn="1" w:lastColumn="0" w:noHBand="0" w:noVBand="1"/>
      </w:tblPr>
      <w:tblGrid>
        <w:gridCol w:w="3733"/>
        <w:gridCol w:w="5717"/>
      </w:tblGrid>
      <w:tr w:rsidR="00C32830" w14:paraId="4DF10289" w14:textId="77777777" w:rsidTr="002C1B6A">
        <w:trPr>
          <w:trHeight w:val="216"/>
        </w:trPr>
        <w:tc>
          <w:tcPr>
            <w:tcW w:w="3733" w:type="dxa"/>
          </w:tcPr>
          <w:p w14:paraId="699434EE" w14:textId="77777777" w:rsidR="00C32830" w:rsidRPr="003A3C7A" w:rsidRDefault="00C32830" w:rsidP="003D0053">
            <w:pPr>
              <w:pStyle w:val="NoSpacing"/>
              <w:rPr>
                <w:b/>
                <w:bCs/>
                <w:sz w:val="20"/>
                <w:szCs w:val="20"/>
              </w:rPr>
            </w:pPr>
            <w:r w:rsidRPr="003A3C7A">
              <w:rPr>
                <w:b/>
                <w:bCs/>
                <w:sz w:val="20"/>
                <w:szCs w:val="20"/>
              </w:rPr>
              <w:t>Concomitant Drug Class</w:t>
            </w:r>
          </w:p>
        </w:tc>
        <w:tc>
          <w:tcPr>
            <w:tcW w:w="5717" w:type="dxa"/>
          </w:tcPr>
          <w:p w14:paraId="75BF7B7B" w14:textId="77777777" w:rsidR="00C32830" w:rsidRDefault="00C32830" w:rsidP="003D0053">
            <w:pPr>
              <w:pStyle w:val="NoSpacing"/>
              <w:rPr>
                <w:sz w:val="20"/>
                <w:szCs w:val="20"/>
              </w:rPr>
            </w:pPr>
            <w:r w:rsidRPr="00B96C9B">
              <w:rPr>
                <w:b/>
                <w:bCs/>
                <w:sz w:val="20"/>
                <w:szCs w:val="20"/>
              </w:rPr>
              <w:t>Dosage</w:t>
            </w:r>
          </w:p>
        </w:tc>
      </w:tr>
      <w:tr w:rsidR="00C32830" w14:paraId="2A13A2CF" w14:textId="77777777" w:rsidTr="002C1B6A">
        <w:trPr>
          <w:trHeight w:val="216"/>
        </w:trPr>
        <w:tc>
          <w:tcPr>
            <w:tcW w:w="3733" w:type="dxa"/>
          </w:tcPr>
          <w:p w14:paraId="31FB2E7E" w14:textId="77777777" w:rsidR="00C32830" w:rsidRDefault="00C32830" w:rsidP="003D0053">
            <w:pPr>
              <w:pStyle w:val="NoSpacing"/>
              <w:rPr>
                <w:sz w:val="20"/>
                <w:szCs w:val="20"/>
              </w:rPr>
            </w:pPr>
            <w:r w:rsidRPr="00B96C9B">
              <w:rPr>
                <w:sz w:val="20"/>
                <w:szCs w:val="20"/>
              </w:rPr>
              <w:t>Strong or Moderate CYP3A4 Inducer</w:t>
            </w:r>
          </w:p>
        </w:tc>
        <w:tc>
          <w:tcPr>
            <w:tcW w:w="5717" w:type="dxa"/>
          </w:tcPr>
          <w:p w14:paraId="0C3360C2" w14:textId="77777777" w:rsidR="00C32830" w:rsidRDefault="00C32830" w:rsidP="003D0053">
            <w:pPr>
              <w:pStyle w:val="NoSpacing"/>
              <w:rPr>
                <w:sz w:val="20"/>
                <w:szCs w:val="20"/>
              </w:rPr>
            </w:pPr>
            <w:r w:rsidRPr="00B96C9B">
              <w:rPr>
                <w:sz w:val="20"/>
                <w:szCs w:val="20"/>
              </w:rPr>
              <w:t>Avoid concomitant use.</w:t>
            </w:r>
          </w:p>
        </w:tc>
      </w:tr>
      <w:tr w:rsidR="00C32830" w14:paraId="1B30B7A7" w14:textId="77777777" w:rsidTr="00D76060">
        <w:trPr>
          <w:trHeight w:val="1673"/>
        </w:trPr>
        <w:tc>
          <w:tcPr>
            <w:tcW w:w="3733" w:type="dxa"/>
            <w:vAlign w:val="center"/>
          </w:tcPr>
          <w:p w14:paraId="4E5998BE" w14:textId="77777777" w:rsidR="00C32830" w:rsidRDefault="00C32830" w:rsidP="003D0053">
            <w:pPr>
              <w:pStyle w:val="NoSpacing"/>
              <w:rPr>
                <w:sz w:val="20"/>
                <w:szCs w:val="20"/>
              </w:rPr>
            </w:pPr>
            <w:r w:rsidRPr="00B96C9B">
              <w:rPr>
                <w:sz w:val="20"/>
                <w:szCs w:val="20"/>
              </w:rPr>
              <w:t>Strong CYP3A4 Inhibitor</w:t>
            </w:r>
          </w:p>
        </w:tc>
        <w:tc>
          <w:tcPr>
            <w:tcW w:w="5717" w:type="dxa"/>
          </w:tcPr>
          <w:p w14:paraId="5E459E0B" w14:textId="77777777" w:rsidR="00C32830" w:rsidRDefault="00C32830" w:rsidP="003D0053">
            <w:pPr>
              <w:rPr>
                <w:szCs w:val="20"/>
              </w:rPr>
            </w:pPr>
            <w:r w:rsidRPr="00B96C9B">
              <w:rPr>
                <w:szCs w:val="20"/>
              </w:rPr>
              <w:t>Avoid concomitant use i</w:t>
            </w:r>
            <w:r>
              <w:rPr>
                <w:szCs w:val="20"/>
              </w:rPr>
              <w:t>f</w:t>
            </w:r>
            <w:r w:rsidRPr="00B96C9B">
              <w:rPr>
                <w:szCs w:val="20"/>
              </w:rPr>
              <w:t xml:space="preserve"> coadministration is avoidable.</w:t>
            </w:r>
          </w:p>
          <w:p w14:paraId="2FCCF0DA" w14:textId="77777777" w:rsidR="00C32830" w:rsidRDefault="00C32830" w:rsidP="003D0053">
            <w:pPr>
              <w:rPr>
                <w:szCs w:val="20"/>
              </w:rPr>
            </w:pPr>
          </w:p>
          <w:p w14:paraId="6440A167" w14:textId="77777777" w:rsidR="00C32830" w:rsidRPr="00B96C9B" w:rsidRDefault="00C32830" w:rsidP="003D0053">
            <w:pPr>
              <w:rPr>
                <w:szCs w:val="20"/>
              </w:rPr>
            </w:pPr>
            <w:r w:rsidRPr="00B96C9B">
              <w:rPr>
                <w:szCs w:val="20"/>
              </w:rPr>
              <w:t>If coadministration is unavoidable:</w:t>
            </w:r>
          </w:p>
          <w:p w14:paraId="1E7CCDD4" w14:textId="77777777" w:rsidR="00C32830" w:rsidRDefault="00C32830" w:rsidP="001E676B">
            <w:pPr>
              <w:pStyle w:val="ListParagraph"/>
              <w:numPr>
                <w:ilvl w:val="0"/>
                <w:numId w:val="14"/>
              </w:numPr>
              <w:rPr>
                <w:rFonts w:cs="Arial"/>
                <w:szCs w:val="20"/>
              </w:rPr>
            </w:pPr>
            <w:r w:rsidRPr="00B96C9B">
              <w:rPr>
                <w:rFonts w:cs="Arial"/>
                <w:szCs w:val="20"/>
              </w:rPr>
              <w:t>Reduce Skyclarys dose to 50 mg once daily with close monitoring for ADRs</w:t>
            </w:r>
          </w:p>
          <w:p w14:paraId="34F0F696" w14:textId="77777777" w:rsidR="00C32830" w:rsidRPr="003A3C7A" w:rsidRDefault="00C32830" w:rsidP="001E676B">
            <w:pPr>
              <w:pStyle w:val="ListParagraph"/>
              <w:numPr>
                <w:ilvl w:val="0"/>
                <w:numId w:val="14"/>
              </w:numPr>
              <w:rPr>
                <w:rFonts w:cs="Arial"/>
                <w:szCs w:val="20"/>
              </w:rPr>
            </w:pPr>
            <w:r w:rsidRPr="003A3C7A">
              <w:rPr>
                <w:rFonts w:cs="Arial"/>
                <w:szCs w:val="20"/>
              </w:rPr>
              <w:t>If ADRs emerge, the strong CYP3A4 inhibitor should be discontinued.</w:t>
            </w:r>
          </w:p>
        </w:tc>
      </w:tr>
      <w:tr w:rsidR="00C32830" w14:paraId="381C4F1F" w14:textId="77777777" w:rsidTr="00D76060">
        <w:trPr>
          <w:trHeight w:val="216"/>
        </w:trPr>
        <w:tc>
          <w:tcPr>
            <w:tcW w:w="3733" w:type="dxa"/>
            <w:vAlign w:val="center"/>
          </w:tcPr>
          <w:p w14:paraId="37024F5F" w14:textId="77777777" w:rsidR="00C32830" w:rsidRDefault="00C32830" w:rsidP="003D0053">
            <w:pPr>
              <w:pStyle w:val="NoSpacing"/>
              <w:rPr>
                <w:sz w:val="20"/>
                <w:szCs w:val="20"/>
              </w:rPr>
            </w:pPr>
            <w:r w:rsidRPr="00B96C9B">
              <w:rPr>
                <w:sz w:val="20"/>
                <w:szCs w:val="20"/>
              </w:rPr>
              <w:t>Moderate CYP3A4 Inhibitor</w:t>
            </w:r>
          </w:p>
        </w:tc>
        <w:tc>
          <w:tcPr>
            <w:tcW w:w="5717" w:type="dxa"/>
          </w:tcPr>
          <w:p w14:paraId="6EABB0D9" w14:textId="77777777" w:rsidR="00C32830" w:rsidRPr="00B96C9B" w:rsidRDefault="00C32830" w:rsidP="003D0053">
            <w:pPr>
              <w:rPr>
                <w:szCs w:val="20"/>
              </w:rPr>
            </w:pPr>
            <w:r w:rsidRPr="00B96C9B">
              <w:rPr>
                <w:szCs w:val="20"/>
              </w:rPr>
              <w:t>Avoid concomitant use.</w:t>
            </w:r>
          </w:p>
          <w:p w14:paraId="4BAC5DA8" w14:textId="77777777" w:rsidR="00C32830" w:rsidRDefault="00C32830" w:rsidP="003D0053">
            <w:pPr>
              <w:rPr>
                <w:szCs w:val="20"/>
              </w:rPr>
            </w:pPr>
          </w:p>
          <w:p w14:paraId="2E91D45E" w14:textId="77777777" w:rsidR="00C32830" w:rsidRPr="00B96C9B" w:rsidRDefault="00C32830" w:rsidP="003D0053">
            <w:pPr>
              <w:rPr>
                <w:szCs w:val="20"/>
              </w:rPr>
            </w:pPr>
            <w:r w:rsidRPr="00B96C9B">
              <w:rPr>
                <w:szCs w:val="20"/>
              </w:rPr>
              <w:t>If coadministration is unavoidable:</w:t>
            </w:r>
          </w:p>
          <w:p w14:paraId="2B8CE7ED" w14:textId="77777777" w:rsidR="00C32830" w:rsidRDefault="00C32830" w:rsidP="001E676B">
            <w:pPr>
              <w:pStyle w:val="ListParagraph"/>
              <w:numPr>
                <w:ilvl w:val="0"/>
                <w:numId w:val="15"/>
              </w:numPr>
              <w:rPr>
                <w:rFonts w:cs="Arial"/>
                <w:szCs w:val="20"/>
              </w:rPr>
            </w:pPr>
            <w:r w:rsidRPr="00B96C9B">
              <w:rPr>
                <w:rFonts w:cs="Arial"/>
                <w:szCs w:val="20"/>
              </w:rPr>
              <w:t>Reduce Skyclarys dose to 100 mg once daily with close monitoring for ADRs.</w:t>
            </w:r>
          </w:p>
          <w:p w14:paraId="57AA3767" w14:textId="77777777" w:rsidR="00C32830" w:rsidRPr="003A3C7A" w:rsidRDefault="00C32830" w:rsidP="001E676B">
            <w:pPr>
              <w:pStyle w:val="ListParagraph"/>
              <w:numPr>
                <w:ilvl w:val="0"/>
                <w:numId w:val="15"/>
              </w:numPr>
              <w:rPr>
                <w:rFonts w:cs="Arial"/>
                <w:szCs w:val="20"/>
              </w:rPr>
            </w:pPr>
            <w:r w:rsidRPr="003A3C7A">
              <w:rPr>
                <w:rFonts w:cs="Arial"/>
                <w:szCs w:val="20"/>
              </w:rPr>
              <w:t>If ADRs emerge, reduce Skyclarys dose to 50 mg once daily.</w:t>
            </w:r>
          </w:p>
        </w:tc>
      </w:tr>
    </w:tbl>
    <w:p w14:paraId="5DC5379C" w14:textId="77777777" w:rsidR="00EE210B" w:rsidRDefault="00EE210B" w:rsidP="004134D1">
      <w:pPr>
        <w:pStyle w:val="NoSpacing"/>
        <w:ind w:left="720"/>
        <w:rPr>
          <w:sz w:val="20"/>
          <w:szCs w:val="20"/>
        </w:rPr>
      </w:pPr>
    </w:p>
    <w:p w14:paraId="2688B02E" w14:textId="42980A05" w:rsidR="00EF16AB" w:rsidRPr="006F7C4D" w:rsidRDefault="00EF16AB" w:rsidP="001E676B">
      <w:pPr>
        <w:pStyle w:val="NoSpacing"/>
        <w:numPr>
          <w:ilvl w:val="1"/>
          <w:numId w:val="16"/>
        </w:numPr>
        <w:ind w:left="720"/>
        <w:rPr>
          <w:sz w:val="20"/>
          <w:szCs w:val="20"/>
        </w:rPr>
      </w:pPr>
      <w:r w:rsidRPr="006F7C4D">
        <w:rPr>
          <w:sz w:val="20"/>
          <w:szCs w:val="20"/>
        </w:rPr>
        <w:t>Recommended Dosage in Patients with Hepatic Impairment:</w:t>
      </w:r>
    </w:p>
    <w:tbl>
      <w:tblPr>
        <w:tblStyle w:val="TableGrid"/>
        <w:tblW w:w="9450" w:type="dxa"/>
        <w:tblInd w:w="175" w:type="dxa"/>
        <w:tblLayout w:type="fixed"/>
        <w:tblLook w:val="04A0" w:firstRow="1" w:lastRow="0" w:firstColumn="1" w:lastColumn="0" w:noHBand="0" w:noVBand="1"/>
      </w:tblPr>
      <w:tblGrid>
        <w:gridCol w:w="3733"/>
        <w:gridCol w:w="5717"/>
      </w:tblGrid>
      <w:tr w:rsidR="008E4595" w14:paraId="277DF07B" w14:textId="77777777" w:rsidTr="002C1B6A">
        <w:trPr>
          <w:trHeight w:val="247"/>
        </w:trPr>
        <w:tc>
          <w:tcPr>
            <w:tcW w:w="3733" w:type="dxa"/>
          </w:tcPr>
          <w:p w14:paraId="1C9388DF" w14:textId="77777777" w:rsidR="008E4595" w:rsidRPr="006F7C4D" w:rsidRDefault="008E4595" w:rsidP="003D0053">
            <w:pPr>
              <w:pStyle w:val="NoSpacing"/>
              <w:rPr>
                <w:b/>
                <w:bCs/>
                <w:sz w:val="20"/>
                <w:szCs w:val="20"/>
              </w:rPr>
            </w:pPr>
            <w:r w:rsidRPr="006F7C4D">
              <w:rPr>
                <w:b/>
                <w:bCs/>
                <w:sz w:val="20"/>
                <w:szCs w:val="20"/>
              </w:rPr>
              <w:t>Hepatic Impairment Classification (Child-Pugh)</w:t>
            </w:r>
          </w:p>
        </w:tc>
        <w:tc>
          <w:tcPr>
            <w:tcW w:w="5717" w:type="dxa"/>
          </w:tcPr>
          <w:p w14:paraId="62F68CA1" w14:textId="77777777" w:rsidR="008E4595" w:rsidRPr="006F7C4D" w:rsidRDefault="008E4595" w:rsidP="003D0053">
            <w:pPr>
              <w:pStyle w:val="NoSpacing"/>
              <w:rPr>
                <w:b/>
                <w:bCs/>
                <w:sz w:val="20"/>
                <w:szCs w:val="20"/>
              </w:rPr>
            </w:pPr>
            <w:r w:rsidRPr="006F7C4D">
              <w:rPr>
                <w:b/>
                <w:bCs/>
                <w:sz w:val="20"/>
                <w:szCs w:val="20"/>
              </w:rPr>
              <w:t>Dosage</w:t>
            </w:r>
          </w:p>
        </w:tc>
      </w:tr>
      <w:tr w:rsidR="008E4595" w14:paraId="01596203" w14:textId="77777777" w:rsidTr="002C1B6A">
        <w:trPr>
          <w:trHeight w:val="247"/>
        </w:trPr>
        <w:tc>
          <w:tcPr>
            <w:tcW w:w="3733" w:type="dxa"/>
          </w:tcPr>
          <w:p w14:paraId="257F590E" w14:textId="77777777" w:rsidR="008E4595" w:rsidRDefault="008E4595" w:rsidP="003D0053">
            <w:pPr>
              <w:pStyle w:val="NoSpacing"/>
              <w:rPr>
                <w:sz w:val="20"/>
                <w:szCs w:val="20"/>
              </w:rPr>
            </w:pPr>
            <w:r w:rsidRPr="00B96C9B">
              <w:rPr>
                <w:sz w:val="20"/>
                <w:szCs w:val="20"/>
              </w:rPr>
              <w:t>Mild (Child-Pugh Class A)</w:t>
            </w:r>
          </w:p>
        </w:tc>
        <w:tc>
          <w:tcPr>
            <w:tcW w:w="5717" w:type="dxa"/>
          </w:tcPr>
          <w:p w14:paraId="218834AC" w14:textId="77777777" w:rsidR="008E4595" w:rsidRPr="008F1710" w:rsidRDefault="008E4595" w:rsidP="003D0053">
            <w:pPr>
              <w:pStyle w:val="NoSpacing"/>
              <w:rPr>
                <w:sz w:val="20"/>
                <w:szCs w:val="20"/>
              </w:rPr>
            </w:pPr>
            <w:r w:rsidRPr="008F1710">
              <w:rPr>
                <w:sz w:val="20"/>
                <w:szCs w:val="20"/>
              </w:rPr>
              <w:t>150 mg once daily</w:t>
            </w:r>
          </w:p>
        </w:tc>
      </w:tr>
      <w:tr w:rsidR="008E4595" w14:paraId="607D38AC" w14:textId="77777777" w:rsidTr="002C1B6A">
        <w:trPr>
          <w:trHeight w:val="247"/>
        </w:trPr>
        <w:tc>
          <w:tcPr>
            <w:tcW w:w="3733" w:type="dxa"/>
          </w:tcPr>
          <w:p w14:paraId="5D11B10E" w14:textId="77777777" w:rsidR="008E4595" w:rsidRDefault="008E4595" w:rsidP="003D0053">
            <w:pPr>
              <w:pStyle w:val="NoSpacing"/>
              <w:rPr>
                <w:sz w:val="20"/>
                <w:szCs w:val="20"/>
              </w:rPr>
            </w:pPr>
            <w:r w:rsidRPr="00B96C9B">
              <w:rPr>
                <w:sz w:val="20"/>
                <w:szCs w:val="20"/>
              </w:rPr>
              <w:t>Moderate (Child-Pugh Class B)</w:t>
            </w:r>
          </w:p>
        </w:tc>
        <w:tc>
          <w:tcPr>
            <w:tcW w:w="5717" w:type="dxa"/>
          </w:tcPr>
          <w:p w14:paraId="0AC2471F" w14:textId="77777777" w:rsidR="008E4595" w:rsidRPr="008F1710" w:rsidRDefault="008E4595" w:rsidP="001E676B">
            <w:pPr>
              <w:pStyle w:val="ListParagraph"/>
              <w:numPr>
                <w:ilvl w:val="0"/>
                <w:numId w:val="17"/>
              </w:numPr>
              <w:rPr>
                <w:rFonts w:cs="Arial"/>
                <w:szCs w:val="20"/>
              </w:rPr>
            </w:pPr>
            <w:r w:rsidRPr="008F1710">
              <w:rPr>
                <w:rFonts w:cs="Arial"/>
                <w:szCs w:val="20"/>
              </w:rPr>
              <w:t>100 mg once daily with close monitoring for ADRs</w:t>
            </w:r>
            <w:r>
              <w:rPr>
                <w:rFonts w:cs="Arial"/>
                <w:szCs w:val="20"/>
              </w:rPr>
              <w:t>.</w:t>
            </w:r>
          </w:p>
          <w:p w14:paraId="5A2F37D1" w14:textId="77777777" w:rsidR="008E4595" w:rsidRPr="008F1710" w:rsidRDefault="008E4595" w:rsidP="001E676B">
            <w:pPr>
              <w:pStyle w:val="ListParagraph"/>
              <w:numPr>
                <w:ilvl w:val="0"/>
                <w:numId w:val="17"/>
              </w:numPr>
              <w:rPr>
                <w:rFonts w:cs="Arial"/>
                <w:szCs w:val="20"/>
              </w:rPr>
            </w:pPr>
            <w:r w:rsidRPr="008F1710">
              <w:rPr>
                <w:rFonts w:cs="Arial"/>
                <w:szCs w:val="20"/>
              </w:rPr>
              <w:t>Reduce to 50 mg once daily if ADRs are present.</w:t>
            </w:r>
          </w:p>
        </w:tc>
      </w:tr>
      <w:tr w:rsidR="008E4595" w14:paraId="36B2FDE4" w14:textId="77777777" w:rsidTr="002C1B6A">
        <w:trPr>
          <w:trHeight w:val="247"/>
        </w:trPr>
        <w:tc>
          <w:tcPr>
            <w:tcW w:w="3733" w:type="dxa"/>
          </w:tcPr>
          <w:p w14:paraId="3EF3FFF7" w14:textId="77777777" w:rsidR="008E4595" w:rsidRDefault="008E4595" w:rsidP="003D0053">
            <w:pPr>
              <w:pStyle w:val="NoSpacing"/>
              <w:rPr>
                <w:sz w:val="20"/>
                <w:szCs w:val="20"/>
              </w:rPr>
            </w:pPr>
            <w:r w:rsidRPr="00B96C9B">
              <w:rPr>
                <w:sz w:val="20"/>
                <w:szCs w:val="20"/>
              </w:rPr>
              <w:t>Severe (Child-Pugh Class C)</w:t>
            </w:r>
          </w:p>
        </w:tc>
        <w:tc>
          <w:tcPr>
            <w:tcW w:w="5717" w:type="dxa"/>
          </w:tcPr>
          <w:p w14:paraId="31AF8CA2" w14:textId="77777777" w:rsidR="008E4595" w:rsidRPr="008F1710" w:rsidRDefault="008E4595" w:rsidP="003D0053">
            <w:pPr>
              <w:pStyle w:val="NoSpacing"/>
              <w:rPr>
                <w:sz w:val="20"/>
                <w:szCs w:val="20"/>
              </w:rPr>
            </w:pPr>
            <w:r w:rsidRPr="008F1710">
              <w:rPr>
                <w:sz w:val="20"/>
                <w:szCs w:val="20"/>
              </w:rPr>
              <w:t>Avoid use</w:t>
            </w:r>
          </w:p>
        </w:tc>
      </w:tr>
    </w:tbl>
    <w:p w14:paraId="0D69451A" w14:textId="77777777" w:rsidR="00EE210B" w:rsidRDefault="00EE210B" w:rsidP="004134D1">
      <w:pPr>
        <w:pStyle w:val="NoSpacing"/>
        <w:ind w:left="720"/>
        <w:rPr>
          <w:sz w:val="20"/>
          <w:szCs w:val="20"/>
        </w:rPr>
      </w:pPr>
    </w:p>
    <w:p w14:paraId="4392F423" w14:textId="0BA67F2B" w:rsidR="00B65558" w:rsidRDefault="00B65558" w:rsidP="001E676B">
      <w:pPr>
        <w:pStyle w:val="NoSpacing"/>
        <w:numPr>
          <w:ilvl w:val="1"/>
          <w:numId w:val="13"/>
        </w:numPr>
        <w:ind w:left="720"/>
        <w:rPr>
          <w:sz w:val="20"/>
          <w:szCs w:val="20"/>
        </w:rPr>
      </w:pPr>
      <w:r w:rsidRPr="00E02EA6">
        <w:rPr>
          <w:sz w:val="20"/>
          <w:szCs w:val="20"/>
        </w:rPr>
        <w:t>Concomitant use with Skyclarys can reduce the exposure of CYP3A4 and CYP2C8 substrates which may reduce the activity of these substrates. Refer to the prescribing information of substrates of CYP3A4 and CYP2C8 for dosing instructions if used concomitantly with Skyclarys and monitor for lack of efficacy of the concomitant treatment.</w:t>
      </w:r>
    </w:p>
    <w:p w14:paraId="04EF891A" w14:textId="77777777" w:rsidR="00B46466" w:rsidRDefault="00B65558" w:rsidP="001E676B">
      <w:pPr>
        <w:pStyle w:val="NoSpacing"/>
        <w:numPr>
          <w:ilvl w:val="1"/>
          <w:numId w:val="13"/>
        </w:numPr>
        <w:ind w:left="720"/>
        <w:rPr>
          <w:sz w:val="20"/>
          <w:szCs w:val="20"/>
        </w:rPr>
      </w:pPr>
      <w:r w:rsidRPr="00B65558">
        <w:rPr>
          <w:sz w:val="20"/>
          <w:szCs w:val="20"/>
        </w:rPr>
        <w:lastRenderedPageBreak/>
        <w:t>Concomitant use of hormonal contraceptives with Skyclarys may reduce the efficacy of hormonal contraceptives. Counsel females using hormonal</w:t>
      </w:r>
      <w:r w:rsidR="007E19DE" w:rsidRPr="007E19DE">
        <w:rPr>
          <w:sz w:val="20"/>
          <w:szCs w:val="20"/>
        </w:rPr>
        <w:t xml:space="preserve"> </w:t>
      </w:r>
      <w:r w:rsidR="007E19DE">
        <w:rPr>
          <w:sz w:val="20"/>
          <w:szCs w:val="20"/>
        </w:rPr>
        <w:t>contraceptives to use an alternative contraceptive method (e.g., non-hormonal intrauterine system) or additional non-hormonal contraceptive (e.g., condoms) during concomitant use and for 28 days after discontinuation of Skyclarys.</w:t>
      </w:r>
    </w:p>
    <w:p w14:paraId="512E1DAA" w14:textId="2E7977A4" w:rsidR="00B46466" w:rsidRDefault="00B46466" w:rsidP="001E676B">
      <w:pPr>
        <w:pStyle w:val="NoSpacing"/>
        <w:numPr>
          <w:ilvl w:val="1"/>
          <w:numId w:val="13"/>
        </w:numPr>
        <w:ind w:left="720"/>
        <w:rPr>
          <w:sz w:val="20"/>
          <w:szCs w:val="20"/>
        </w:rPr>
      </w:pPr>
      <w:r w:rsidRPr="00616646">
        <w:rPr>
          <w:sz w:val="20"/>
          <w:szCs w:val="20"/>
        </w:rPr>
        <w:t>Avoid grapefruit juice and grapefruit while taking Skyclarys</w:t>
      </w:r>
      <w:r>
        <w:rPr>
          <w:sz w:val="20"/>
          <w:szCs w:val="20"/>
        </w:rPr>
        <w:t>.</w:t>
      </w:r>
    </w:p>
    <w:p w14:paraId="2387338E" w14:textId="77777777" w:rsidR="006F7F44" w:rsidRDefault="006F7F44" w:rsidP="001E676B">
      <w:pPr>
        <w:pStyle w:val="NoSpacing"/>
        <w:numPr>
          <w:ilvl w:val="0"/>
          <w:numId w:val="13"/>
        </w:numPr>
        <w:rPr>
          <w:sz w:val="20"/>
          <w:szCs w:val="20"/>
        </w:rPr>
      </w:pPr>
      <w:r w:rsidRPr="008C2739">
        <w:rPr>
          <w:sz w:val="20"/>
          <w:szCs w:val="20"/>
        </w:rPr>
        <w:t>Use in Specific Populations:</w:t>
      </w:r>
    </w:p>
    <w:p w14:paraId="14D191A6" w14:textId="77777777" w:rsidR="006F7F44" w:rsidRDefault="006F7F44" w:rsidP="001E676B">
      <w:pPr>
        <w:pStyle w:val="NoSpacing"/>
        <w:numPr>
          <w:ilvl w:val="1"/>
          <w:numId w:val="13"/>
        </w:numPr>
        <w:ind w:left="720"/>
        <w:rPr>
          <w:sz w:val="20"/>
          <w:szCs w:val="20"/>
        </w:rPr>
      </w:pPr>
      <w:r w:rsidRPr="00616646">
        <w:rPr>
          <w:sz w:val="20"/>
          <w:szCs w:val="20"/>
        </w:rPr>
        <w:t>Pregnancy: Based on animal data, may cause fetal harm.</w:t>
      </w:r>
    </w:p>
    <w:p w14:paraId="0CE8C02C" w14:textId="7F6D2A10" w:rsidR="009A6C65" w:rsidRDefault="006F7F44" w:rsidP="001E676B">
      <w:pPr>
        <w:pStyle w:val="NoSpacing"/>
        <w:numPr>
          <w:ilvl w:val="1"/>
          <w:numId w:val="13"/>
        </w:numPr>
        <w:ind w:left="720"/>
        <w:rPr>
          <w:sz w:val="20"/>
          <w:szCs w:val="20"/>
        </w:rPr>
      </w:pPr>
      <w:r w:rsidRPr="00616646">
        <w:rPr>
          <w:sz w:val="20"/>
          <w:szCs w:val="20"/>
        </w:rPr>
        <w:t>Lactation Risk: There are no data on the presence of Skyclarys</w:t>
      </w:r>
      <w:r>
        <w:rPr>
          <w:sz w:val="20"/>
          <w:szCs w:val="20"/>
        </w:rPr>
        <w:t xml:space="preserve"> or</w:t>
      </w:r>
      <w:r w:rsidRPr="00616646">
        <w:rPr>
          <w:sz w:val="20"/>
          <w:szCs w:val="20"/>
        </w:rPr>
        <w:t xml:space="preserve"> its metabolites in human milk. The effects on milk production and the breastfed infant are unknown. Skyclarys was excreted in the milk of lactating rats following oral administration. The developmental and health benefits of breastfeeding should be considered along with the mother’s clinical need for Skyclarys and any potential adverse effects on the breastfed infant from Skyclarys or from the underlying maternal condition.</w:t>
      </w:r>
    </w:p>
    <w:p w14:paraId="0CE0E4A7" w14:textId="764C7786" w:rsidR="006961C6" w:rsidRDefault="006961C6" w:rsidP="001E676B">
      <w:pPr>
        <w:pStyle w:val="ListParagraph"/>
        <w:numPr>
          <w:ilvl w:val="0"/>
          <w:numId w:val="13"/>
        </w:numPr>
        <w:rPr>
          <w:rFonts w:eastAsia="Arial"/>
          <w:szCs w:val="20"/>
        </w:rPr>
      </w:pPr>
      <w:r w:rsidRPr="006961C6">
        <w:rPr>
          <w:rFonts w:eastAsia="Arial"/>
          <w:szCs w:val="20"/>
        </w:rPr>
        <w:t>The magnitude of improvement seen with Skyclarys is equivalent to approximately 2 years of disease progression in patients with FA; therefore, Skyclarys may delay the progression of FA.</w:t>
      </w:r>
    </w:p>
    <w:p w14:paraId="3C5DE64F" w14:textId="77777777" w:rsidR="0075186D" w:rsidRDefault="0075186D" w:rsidP="0075186D">
      <w:pPr>
        <w:pStyle w:val="NoSpacing"/>
        <w:rPr>
          <w:b/>
          <w:bCs/>
          <w:sz w:val="20"/>
          <w:szCs w:val="20"/>
          <w:u w:val="single"/>
        </w:rPr>
      </w:pPr>
    </w:p>
    <w:p w14:paraId="1D333196" w14:textId="638D3CAF" w:rsidR="0075186D" w:rsidRPr="00072EF3" w:rsidRDefault="0075186D" w:rsidP="0075186D">
      <w:pPr>
        <w:pStyle w:val="NoSpacing"/>
        <w:rPr>
          <w:b/>
          <w:bCs/>
          <w:sz w:val="20"/>
          <w:szCs w:val="20"/>
          <w:u w:val="single"/>
        </w:rPr>
      </w:pPr>
      <w:r w:rsidRPr="00072EF3">
        <w:rPr>
          <w:b/>
          <w:bCs/>
          <w:sz w:val="20"/>
          <w:szCs w:val="20"/>
          <w:u w:val="single"/>
        </w:rPr>
        <w:t>Skyclarys Clinical Trials</w:t>
      </w:r>
    </w:p>
    <w:p w14:paraId="5001FA4B" w14:textId="77777777" w:rsidR="0075186D" w:rsidRDefault="0075186D" w:rsidP="001E676B">
      <w:pPr>
        <w:pStyle w:val="NoSpacing"/>
        <w:numPr>
          <w:ilvl w:val="0"/>
          <w:numId w:val="13"/>
        </w:numPr>
        <w:rPr>
          <w:sz w:val="20"/>
          <w:szCs w:val="20"/>
        </w:rPr>
      </w:pPr>
      <w:r>
        <w:rPr>
          <w:sz w:val="20"/>
          <w:szCs w:val="20"/>
        </w:rPr>
        <w:t>MOXIe Part 1 Clinical Study</w:t>
      </w:r>
    </w:p>
    <w:p w14:paraId="76EBEEED" w14:textId="77777777" w:rsidR="0075186D" w:rsidRDefault="0075186D" w:rsidP="001E676B">
      <w:pPr>
        <w:pStyle w:val="NoSpacing"/>
        <w:numPr>
          <w:ilvl w:val="1"/>
          <w:numId w:val="13"/>
        </w:numPr>
        <w:ind w:left="720"/>
        <w:rPr>
          <w:sz w:val="20"/>
          <w:szCs w:val="20"/>
        </w:rPr>
      </w:pPr>
      <w:r w:rsidRPr="00B0368D">
        <w:rPr>
          <w:sz w:val="20"/>
          <w:szCs w:val="20"/>
        </w:rPr>
        <w:t>12-week, international, multicenter, randomized, double-blind, placebo-controlled, dose-ranging trial in 69 patients with FA.</w:t>
      </w:r>
    </w:p>
    <w:p w14:paraId="5439F893" w14:textId="77777777" w:rsidR="0075186D" w:rsidRDefault="0075186D" w:rsidP="001E676B">
      <w:pPr>
        <w:pStyle w:val="NoSpacing"/>
        <w:numPr>
          <w:ilvl w:val="1"/>
          <w:numId w:val="13"/>
        </w:numPr>
        <w:ind w:left="720"/>
        <w:rPr>
          <w:sz w:val="20"/>
          <w:szCs w:val="20"/>
        </w:rPr>
      </w:pPr>
      <w:r w:rsidRPr="00F85A3E">
        <w:rPr>
          <w:sz w:val="20"/>
          <w:szCs w:val="20"/>
        </w:rPr>
        <w:t xml:space="preserve">Part 1 of MOXIe was designed to identify a safe and clinically active dose of </w:t>
      </w:r>
      <w:r>
        <w:rPr>
          <w:sz w:val="20"/>
          <w:szCs w:val="20"/>
        </w:rPr>
        <w:t xml:space="preserve">Skyclarys </w:t>
      </w:r>
      <w:r w:rsidRPr="00F85A3E">
        <w:rPr>
          <w:sz w:val="20"/>
          <w:szCs w:val="20"/>
        </w:rPr>
        <w:t>to study in Part 2</w:t>
      </w:r>
      <w:r>
        <w:rPr>
          <w:sz w:val="20"/>
          <w:szCs w:val="20"/>
        </w:rPr>
        <w:t>.</w:t>
      </w:r>
    </w:p>
    <w:p w14:paraId="4F02109E" w14:textId="77777777" w:rsidR="0075186D" w:rsidRDefault="0075186D" w:rsidP="001E676B">
      <w:pPr>
        <w:pStyle w:val="NoSpacing"/>
        <w:numPr>
          <w:ilvl w:val="1"/>
          <w:numId w:val="13"/>
        </w:numPr>
        <w:ind w:left="720"/>
        <w:rPr>
          <w:sz w:val="20"/>
          <w:szCs w:val="20"/>
        </w:rPr>
      </w:pPr>
      <w:r>
        <w:rPr>
          <w:sz w:val="20"/>
          <w:szCs w:val="20"/>
        </w:rPr>
        <w:t xml:space="preserve">The 160 mg dose provided the maximum effect on the primary endpoint of change in mFARS score (see below). </w:t>
      </w:r>
    </w:p>
    <w:p w14:paraId="1D4468D9" w14:textId="77777777" w:rsidR="0075186D" w:rsidRDefault="0075186D" w:rsidP="001E676B">
      <w:pPr>
        <w:pStyle w:val="NoSpacing"/>
        <w:numPr>
          <w:ilvl w:val="1"/>
          <w:numId w:val="13"/>
        </w:numPr>
        <w:ind w:left="720"/>
        <w:rPr>
          <w:sz w:val="20"/>
          <w:szCs w:val="20"/>
        </w:rPr>
      </w:pPr>
      <w:r>
        <w:rPr>
          <w:sz w:val="20"/>
          <w:szCs w:val="20"/>
        </w:rPr>
        <w:t xml:space="preserve">150 mg was chosen as the starting dose for MOXIe Part 2 to decrease the pill burden associated with the 160 mg dosing. </w:t>
      </w:r>
    </w:p>
    <w:p w14:paraId="64771270" w14:textId="77777777" w:rsidR="0075186D" w:rsidRDefault="0075186D" w:rsidP="001E676B">
      <w:pPr>
        <w:pStyle w:val="NoSpacing"/>
        <w:numPr>
          <w:ilvl w:val="0"/>
          <w:numId w:val="13"/>
        </w:numPr>
        <w:rPr>
          <w:sz w:val="20"/>
          <w:szCs w:val="20"/>
        </w:rPr>
      </w:pPr>
      <w:r w:rsidRPr="00B0368D">
        <w:rPr>
          <w:sz w:val="20"/>
          <w:szCs w:val="20"/>
        </w:rPr>
        <w:t>MOXIe Part 2 Study</w:t>
      </w:r>
    </w:p>
    <w:p w14:paraId="548AF5AC" w14:textId="77777777" w:rsidR="002C1B6A" w:rsidRPr="002C1B6A" w:rsidRDefault="002C1B6A" w:rsidP="001E676B">
      <w:pPr>
        <w:pStyle w:val="NoSpacing"/>
        <w:numPr>
          <w:ilvl w:val="1"/>
          <w:numId w:val="13"/>
        </w:numPr>
        <w:ind w:left="720"/>
        <w:rPr>
          <w:sz w:val="20"/>
          <w:szCs w:val="20"/>
        </w:rPr>
      </w:pPr>
      <w:r w:rsidRPr="00C65E11">
        <w:rPr>
          <w:b/>
          <w:bCs/>
          <w:sz w:val="20"/>
          <w:szCs w:val="20"/>
        </w:rPr>
        <w:t>Study Design</w:t>
      </w:r>
    </w:p>
    <w:p w14:paraId="593FE8F3" w14:textId="7F3FFAF1" w:rsidR="002C1B6A" w:rsidRDefault="002C1B6A" w:rsidP="001E676B">
      <w:pPr>
        <w:pStyle w:val="NoSpacing"/>
        <w:numPr>
          <w:ilvl w:val="2"/>
          <w:numId w:val="13"/>
        </w:numPr>
        <w:ind w:left="1080"/>
        <w:rPr>
          <w:sz w:val="20"/>
          <w:szCs w:val="20"/>
        </w:rPr>
      </w:pPr>
      <w:r w:rsidRPr="00D81002">
        <w:rPr>
          <w:sz w:val="20"/>
          <w:szCs w:val="20"/>
        </w:rPr>
        <w:t>Phase 2, international, multicenter, randomized, double-blind, placebo-controlled, parallel-group, registrational trial</w:t>
      </w:r>
    </w:p>
    <w:p w14:paraId="7857E635" w14:textId="77777777" w:rsidR="002C1B6A" w:rsidRDefault="002C1B6A" w:rsidP="001E676B">
      <w:pPr>
        <w:pStyle w:val="NoSpacing"/>
        <w:numPr>
          <w:ilvl w:val="1"/>
          <w:numId w:val="13"/>
        </w:numPr>
        <w:ind w:left="720"/>
        <w:rPr>
          <w:sz w:val="20"/>
          <w:szCs w:val="20"/>
        </w:rPr>
      </w:pPr>
      <w:r w:rsidRPr="00C65E11">
        <w:rPr>
          <w:b/>
          <w:bCs/>
          <w:sz w:val="20"/>
          <w:szCs w:val="20"/>
        </w:rPr>
        <w:t>Inclusion Criteria</w:t>
      </w:r>
    </w:p>
    <w:p w14:paraId="48C12765" w14:textId="77777777" w:rsidR="002C1B6A" w:rsidRDefault="002C1B6A" w:rsidP="001E676B">
      <w:pPr>
        <w:pStyle w:val="NoSpacing"/>
        <w:numPr>
          <w:ilvl w:val="2"/>
          <w:numId w:val="13"/>
        </w:numPr>
        <w:ind w:left="1080"/>
        <w:rPr>
          <w:sz w:val="20"/>
          <w:szCs w:val="20"/>
        </w:rPr>
      </w:pPr>
      <w:r w:rsidRPr="002C1B6A">
        <w:rPr>
          <w:sz w:val="20"/>
          <w:szCs w:val="20"/>
        </w:rPr>
        <w:t>Males and females between 16 and 40 years of age</w:t>
      </w:r>
    </w:p>
    <w:p w14:paraId="2DEA372B" w14:textId="77777777" w:rsidR="002C1B6A" w:rsidRDefault="002C1B6A" w:rsidP="001E676B">
      <w:pPr>
        <w:pStyle w:val="NoSpacing"/>
        <w:numPr>
          <w:ilvl w:val="2"/>
          <w:numId w:val="13"/>
        </w:numPr>
        <w:ind w:left="1080"/>
        <w:rPr>
          <w:sz w:val="20"/>
          <w:szCs w:val="20"/>
        </w:rPr>
      </w:pPr>
      <w:r w:rsidRPr="002C1B6A">
        <w:rPr>
          <w:sz w:val="20"/>
          <w:szCs w:val="20"/>
        </w:rPr>
        <w:t>Genetically confirmed FA</w:t>
      </w:r>
    </w:p>
    <w:p w14:paraId="4A019FDE" w14:textId="77777777" w:rsidR="002C1B6A" w:rsidRDefault="002C1B6A" w:rsidP="001E676B">
      <w:pPr>
        <w:pStyle w:val="NoSpacing"/>
        <w:numPr>
          <w:ilvl w:val="2"/>
          <w:numId w:val="13"/>
        </w:numPr>
        <w:ind w:left="1080"/>
        <w:rPr>
          <w:sz w:val="20"/>
          <w:szCs w:val="20"/>
        </w:rPr>
      </w:pPr>
      <w:r w:rsidRPr="002C1B6A">
        <w:rPr>
          <w:sz w:val="20"/>
          <w:szCs w:val="20"/>
        </w:rPr>
        <w:t>Baseline mFARS scores between 20 and 80 (see below)</w:t>
      </w:r>
    </w:p>
    <w:p w14:paraId="72256720" w14:textId="20F9ACF8" w:rsidR="002C1B6A" w:rsidRDefault="002C1B6A" w:rsidP="001E676B">
      <w:pPr>
        <w:pStyle w:val="NoSpacing"/>
        <w:numPr>
          <w:ilvl w:val="2"/>
          <w:numId w:val="13"/>
        </w:numPr>
        <w:ind w:left="1080"/>
        <w:rPr>
          <w:sz w:val="20"/>
          <w:szCs w:val="20"/>
        </w:rPr>
      </w:pPr>
      <w:r w:rsidRPr="002C1B6A">
        <w:rPr>
          <w:sz w:val="20"/>
          <w:szCs w:val="20"/>
        </w:rPr>
        <w:t>Able to complete maximal exercise testing on a recumbent stationary bicycle</w:t>
      </w:r>
    </w:p>
    <w:p w14:paraId="6FAA60DB" w14:textId="307CE9FB" w:rsidR="002C1B6A" w:rsidRPr="002C1B6A" w:rsidRDefault="002C1B6A" w:rsidP="001E676B">
      <w:pPr>
        <w:pStyle w:val="NoSpacing"/>
        <w:numPr>
          <w:ilvl w:val="1"/>
          <w:numId w:val="13"/>
        </w:numPr>
        <w:ind w:left="720"/>
        <w:rPr>
          <w:sz w:val="20"/>
          <w:szCs w:val="20"/>
        </w:rPr>
      </w:pPr>
      <w:r w:rsidRPr="00C65E11">
        <w:rPr>
          <w:b/>
          <w:bCs/>
          <w:sz w:val="20"/>
          <w:szCs w:val="20"/>
        </w:rPr>
        <w:t>Exclusion criteria</w:t>
      </w:r>
    </w:p>
    <w:p w14:paraId="407065FF" w14:textId="77777777" w:rsidR="002C1B6A" w:rsidRPr="00D81002" w:rsidRDefault="002C1B6A" w:rsidP="001E676B">
      <w:pPr>
        <w:pStyle w:val="NoSpacing"/>
        <w:numPr>
          <w:ilvl w:val="0"/>
          <w:numId w:val="26"/>
        </w:numPr>
        <w:rPr>
          <w:sz w:val="20"/>
          <w:szCs w:val="20"/>
        </w:rPr>
      </w:pPr>
      <w:r w:rsidRPr="00D81002">
        <w:rPr>
          <w:sz w:val="20"/>
          <w:szCs w:val="20"/>
        </w:rPr>
        <w:t>Uncontrolled diabetes (HbA1c &gt; 11%</w:t>
      </w:r>
    </w:p>
    <w:p w14:paraId="3305CA3E" w14:textId="77777777" w:rsidR="002C1B6A" w:rsidRPr="00D81002" w:rsidRDefault="002C1B6A" w:rsidP="001E676B">
      <w:pPr>
        <w:pStyle w:val="NoSpacing"/>
        <w:numPr>
          <w:ilvl w:val="0"/>
          <w:numId w:val="26"/>
        </w:numPr>
        <w:rPr>
          <w:sz w:val="20"/>
          <w:szCs w:val="20"/>
        </w:rPr>
      </w:pPr>
      <w:r w:rsidRPr="00D81002">
        <w:rPr>
          <w:sz w:val="20"/>
          <w:szCs w:val="20"/>
        </w:rPr>
        <w:t>BNP &gt; 200 pg/m</w:t>
      </w:r>
      <w:r>
        <w:rPr>
          <w:sz w:val="20"/>
          <w:szCs w:val="20"/>
        </w:rPr>
        <w:t>L</w:t>
      </w:r>
    </w:p>
    <w:p w14:paraId="002C87DE" w14:textId="77777777" w:rsidR="002C1B6A" w:rsidRPr="00D81002" w:rsidRDefault="002C1B6A" w:rsidP="001E676B">
      <w:pPr>
        <w:pStyle w:val="NoSpacing"/>
        <w:numPr>
          <w:ilvl w:val="0"/>
          <w:numId w:val="26"/>
        </w:numPr>
        <w:rPr>
          <w:sz w:val="20"/>
          <w:szCs w:val="20"/>
        </w:rPr>
      </w:pPr>
      <w:r w:rsidRPr="00D81002">
        <w:rPr>
          <w:sz w:val="20"/>
          <w:szCs w:val="20"/>
        </w:rPr>
        <w:t>Clinically significant left-sided heart disease or clinically significant cardiac disease</w:t>
      </w:r>
    </w:p>
    <w:p w14:paraId="4764ECDF" w14:textId="77777777" w:rsidR="002C1B6A" w:rsidRPr="00D81002" w:rsidRDefault="002C1B6A" w:rsidP="001E676B">
      <w:pPr>
        <w:pStyle w:val="NoSpacing"/>
        <w:numPr>
          <w:ilvl w:val="0"/>
          <w:numId w:val="26"/>
        </w:numPr>
        <w:rPr>
          <w:sz w:val="20"/>
          <w:szCs w:val="20"/>
        </w:rPr>
      </w:pPr>
      <w:r w:rsidRPr="00D81002">
        <w:rPr>
          <w:sz w:val="20"/>
          <w:szCs w:val="20"/>
        </w:rPr>
        <w:t>Active infection</w:t>
      </w:r>
    </w:p>
    <w:p w14:paraId="47F909BA" w14:textId="77777777" w:rsidR="002C1B6A" w:rsidRDefault="002C1B6A" w:rsidP="001E676B">
      <w:pPr>
        <w:pStyle w:val="NoSpacing"/>
        <w:numPr>
          <w:ilvl w:val="0"/>
          <w:numId w:val="26"/>
        </w:numPr>
        <w:rPr>
          <w:sz w:val="20"/>
          <w:szCs w:val="20"/>
        </w:rPr>
      </w:pPr>
      <w:r w:rsidRPr="00D81002">
        <w:rPr>
          <w:sz w:val="20"/>
          <w:szCs w:val="20"/>
        </w:rPr>
        <w:t>Significant laboratory abnormalities or interfering medical conditions</w:t>
      </w:r>
    </w:p>
    <w:p w14:paraId="16621AB0" w14:textId="6044BC4F" w:rsidR="002C1B6A" w:rsidRDefault="002C1B6A" w:rsidP="001E676B">
      <w:pPr>
        <w:pStyle w:val="NoSpacing"/>
        <w:numPr>
          <w:ilvl w:val="0"/>
          <w:numId w:val="26"/>
        </w:numPr>
        <w:rPr>
          <w:sz w:val="20"/>
          <w:szCs w:val="20"/>
        </w:rPr>
      </w:pPr>
      <w:r w:rsidRPr="002C1B6A">
        <w:rPr>
          <w:sz w:val="20"/>
          <w:szCs w:val="20"/>
        </w:rPr>
        <w:t>Non-ambulatory patients</w:t>
      </w:r>
    </w:p>
    <w:p w14:paraId="5CDBBFE7" w14:textId="6F8FFE96" w:rsidR="002C1B6A" w:rsidRDefault="002C1B6A" w:rsidP="001E676B">
      <w:pPr>
        <w:pStyle w:val="NoSpacing"/>
        <w:numPr>
          <w:ilvl w:val="0"/>
          <w:numId w:val="27"/>
        </w:numPr>
        <w:rPr>
          <w:b/>
          <w:bCs/>
          <w:sz w:val="20"/>
          <w:szCs w:val="20"/>
        </w:rPr>
      </w:pPr>
      <w:r w:rsidRPr="00C65E11">
        <w:rPr>
          <w:b/>
          <w:bCs/>
          <w:sz w:val="20"/>
          <w:szCs w:val="20"/>
        </w:rPr>
        <w:t>Intervention</w:t>
      </w:r>
    </w:p>
    <w:p w14:paraId="220EF1C2" w14:textId="1A6546C8" w:rsidR="002C1B6A" w:rsidRPr="002C1B6A" w:rsidRDefault="002C1B6A" w:rsidP="001E676B">
      <w:pPr>
        <w:pStyle w:val="NoSpacing"/>
        <w:numPr>
          <w:ilvl w:val="1"/>
          <w:numId w:val="27"/>
        </w:numPr>
        <w:rPr>
          <w:b/>
          <w:bCs/>
          <w:sz w:val="20"/>
          <w:szCs w:val="20"/>
        </w:rPr>
      </w:pPr>
      <w:r w:rsidRPr="00D81002">
        <w:rPr>
          <w:sz w:val="20"/>
          <w:szCs w:val="20"/>
        </w:rPr>
        <w:t>Skyclarys 150 mg once daily (n=51) or placebo (n=52) for 48 weeks</w:t>
      </w:r>
    </w:p>
    <w:p w14:paraId="182383FC" w14:textId="3025ABB9" w:rsidR="002C1B6A" w:rsidRDefault="002C1B6A" w:rsidP="001E676B">
      <w:pPr>
        <w:pStyle w:val="NoSpacing"/>
        <w:numPr>
          <w:ilvl w:val="0"/>
          <w:numId w:val="27"/>
        </w:numPr>
        <w:rPr>
          <w:b/>
          <w:bCs/>
          <w:sz w:val="20"/>
          <w:szCs w:val="20"/>
        </w:rPr>
      </w:pPr>
      <w:r w:rsidRPr="00C65E11">
        <w:rPr>
          <w:b/>
          <w:bCs/>
          <w:sz w:val="20"/>
          <w:szCs w:val="20"/>
        </w:rPr>
        <w:t>Primary Endpoint</w:t>
      </w:r>
    </w:p>
    <w:p w14:paraId="7A5ED059" w14:textId="6AE8BC32" w:rsidR="0051040D" w:rsidRPr="0051040D" w:rsidRDefault="002C1B6A" w:rsidP="001E676B">
      <w:pPr>
        <w:pStyle w:val="ListParagraph"/>
        <w:numPr>
          <w:ilvl w:val="0"/>
          <w:numId w:val="18"/>
        </w:numPr>
        <w:spacing w:after="200" w:line="276" w:lineRule="auto"/>
        <w:ind w:left="1080"/>
        <w:rPr>
          <w:rFonts w:eastAsia="Arial" w:cs="Arial"/>
          <w:szCs w:val="20"/>
        </w:rPr>
      </w:pPr>
      <w:r w:rsidRPr="00D81002">
        <w:rPr>
          <w:rFonts w:eastAsia="Arial" w:cs="Arial"/>
          <w:szCs w:val="20"/>
        </w:rPr>
        <w:t>Mean change in mFARS (modified Friedreich’s Ataxia Rating Scale) score from baseline to Week 48</w:t>
      </w:r>
    </w:p>
    <w:p w14:paraId="79F92A93" w14:textId="77777777" w:rsidR="002C1B6A" w:rsidRDefault="002C1B6A" w:rsidP="001E676B">
      <w:pPr>
        <w:pStyle w:val="ListParagraph"/>
        <w:numPr>
          <w:ilvl w:val="1"/>
          <w:numId w:val="18"/>
        </w:numPr>
        <w:spacing w:after="200" w:line="276" w:lineRule="auto"/>
        <w:ind w:left="1440"/>
        <w:rPr>
          <w:rFonts w:eastAsia="Arial" w:cs="Arial"/>
          <w:szCs w:val="20"/>
        </w:rPr>
      </w:pPr>
      <w:r w:rsidRPr="00F85A3E">
        <w:rPr>
          <w:rFonts w:eastAsia="Arial" w:cs="Arial"/>
          <w:szCs w:val="20"/>
        </w:rPr>
        <w:t>The mFARS is a physician-assessed neurologic exam that tracks progression of FA. The scale consists of four sections and scores range from 0 to 93. Lower scores indicate better neurologic function</w:t>
      </w:r>
    </w:p>
    <w:p w14:paraId="23995855" w14:textId="77777777" w:rsidR="00251A77" w:rsidRPr="00251A77" w:rsidRDefault="002C1B6A" w:rsidP="001E676B">
      <w:pPr>
        <w:pStyle w:val="ListParagraph"/>
        <w:numPr>
          <w:ilvl w:val="2"/>
          <w:numId w:val="18"/>
        </w:numPr>
        <w:spacing w:after="200" w:line="276" w:lineRule="auto"/>
        <w:ind w:left="1440"/>
        <w:rPr>
          <w:szCs w:val="20"/>
        </w:rPr>
      </w:pPr>
      <w:r w:rsidRPr="00251A77">
        <w:rPr>
          <w:rFonts w:eastAsia="Arial" w:cs="Arial"/>
          <w:szCs w:val="20"/>
        </w:rPr>
        <w:t>Patients with FA typically progress an average of 1 to 2 points per year on mFARS over time and do not improv</w:t>
      </w:r>
      <w:r w:rsidR="0051040D" w:rsidRPr="00251A77">
        <w:rPr>
          <w:rFonts w:eastAsia="Arial" w:cs="Arial"/>
          <w:szCs w:val="20"/>
        </w:rPr>
        <w:t>e</w:t>
      </w:r>
    </w:p>
    <w:p w14:paraId="0CBBD117" w14:textId="207AD711" w:rsidR="00251A77" w:rsidRPr="00251A77" w:rsidRDefault="002C1B6A" w:rsidP="001E676B">
      <w:pPr>
        <w:pStyle w:val="ListParagraph"/>
        <w:numPr>
          <w:ilvl w:val="1"/>
          <w:numId w:val="18"/>
        </w:numPr>
        <w:spacing w:after="200" w:line="276" w:lineRule="auto"/>
        <w:ind w:left="720"/>
        <w:rPr>
          <w:szCs w:val="20"/>
        </w:rPr>
      </w:pPr>
      <w:r w:rsidRPr="00251A77">
        <w:rPr>
          <w:rFonts w:eastAsia="Arial"/>
          <w:b/>
          <w:bCs/>
          <w:szCs w:val="20"/>
        </w:rPr>
        <w:t>Secondary Endpoints</w:t>
      </w:r>
    </w:p>
    <w:p w14:paraId="48B468EE" w14:textId="2C351D8F" w:rsidR="002C1B6A" w:rsidRPr="00251A77" w:rsidRDefault="002C1B6A" w:rsidP="001E676B">
      <w:pPr>
        <w:pStyle w:val="ListParagraph"/>
        <w:numPr>
          <w:ilvl w:val="0"/>
          <w:numId w:val="18"/>
        </w:numPr>
        <w:spacing w:after="200" w:line="276" w:lineRule="auto"/>
        <w:ind w:left="1080"/>
        <w:rPr>
          <w:rFonts w:eastAsia="Arial"/>
          <w:szCs w:val="20"/>
        </w:rPr>
      </w:pPr>
      <w:r w:rsidRPr="00251A77">
        <w:rPr>
          <w:rFonts w:eastAsia="Arial"/>
          <w:szCs w:val="20"/>
        </w:rPr>
        <w:lastRenderedPageBreak/>
        <w:t>Mean change in patient global impression of change (PGIC) score from baseline to Week 48</w:t>
      </w:r>
    </w:p>
    <w:p w14:paraId="56F80BC5" w14:textId="77777777" w:rsidR="002C1B6A" w:rsidRPr="002C1B6A" w:rsidRDefault="002C1B6A" w:rsidP="001E676B">
      <w:pPr>
        <w:pStyle w:val="ListParagraph"/>
        <w:numPr>
          <w:ilvl w:val="1"/>
          <w:numId w:val="18"/>
        </w:numPr>
        <w:ind w:left="1440"/>
        <w:rPr>
          <w:rFonts w:eastAsia="Arial"/>
          <w:szCs w:val="20"/>
        </w:rPr>
      </w:pPr>
      <w:r w:rsidRPr="002C1B6A">
        <w:rPr>
          <w:rFonts w:eastAsia="Arial"/>
          <w:szCs w:val="20"/>
        </w:rPr>
        <w:t>The patient ranks their change following an intervention on a scale from 1 to 7, with 1 representing “no change” and 7 representing “a great deal better”.</w:t>
      </w:r>
    </w:p>
    <w:p w14:paraId="15E6BC76" w14:textId="77777777" w:rsidR="000E1FFE" w:rsidRPr="00D81002" w:rsidRDefault="000E1FFE" w:rsidP="001E676B">
      <w:pPr>
        <w:pStyle w:val="NoSpacing"/>
        <w:numPr>
          <w:ilvl w:val="0"/>
          <w:numId w:val="18"/>
        </w:numPr>
        <w:ind w:left="1080"/>
        <w:rPr>
          <w:sz w:val="20"/>
          <w:szCs w:val="20"/>
        </w:rPr>
      </w:pPr>
      <w:r w:rsidRPr="00D81002">
        <w:rPr>
          <w:sz w:val="20"/>
          <w:szCs w:val="20"/>
        </w:rPr>
        <w:t>Mean change in Clinical Global Impression of Change (CGIC) from baseline to Week 48</w:t>
      </w:r>
    </w:p>
    <w:p w14:paraId="51A5FB15" w14:textId="77777777" w:rsidR="000E1FFE" w:rsidRPr="00D81002" w:rsidRDefault="000E1FFE" w:rsidP="001E676B">
      <w:pPr>
        <w:pStyle w:val="NoSpacing"/>
        <w:numPr>
          <w:ilvl w:val="1"/>
          <w:numId w:val="18"/>
        </w:numPr>
        <w:ind w:left="1440"/>
        <w:rPr>
          <w:sz w:val="20"/>
          <w:szCs w:val="20"/>
        </w:rPr>
      </w:pPr>
      <w:r>
        <w:rPr>
          <w:sz w:val="20"/>
          <w:szCs w:val="20"/>
        </w:rPr>
        <w:t>Clinicians rank patients’ change following an intervention on a scale from 1 to 7. A score of 1 represents</w:t>
      </w:r>
      <w:r w:rsidRPr="00D81002">
        <w:rPr>
          <w:sz w:val="20"/>
          <w:szCs w:val="20"/>
        </w:rPr>
        <w:t xml:space="preserve"> </w:t>
      </w:r>
      <w:r>
        <w:rPr>
          <w:sz w:val="20"/>
          <w:szCs w:val="20"/>
        </w:rPr>
        <w:t>“</w:t>
      </w:r>
      <w:r w:rsidRPr="00D81002">
        <w:rPr>
          <w:sz w:val="20"/>
          <w:szCs w:val="20"/>
        </w:rPr>
        <w:t>very much improved</w:t>
      </w:r>
      <w:r>
        <w:rPr>
          <w:sz w:val="20"/>
          <w:szCs w:val="20"/>
        </w:rPr>
        <w:t>” and a score of 7 represents “</w:t>
      </w:r>
      <w:r w:rsidRPr="00D81002">
        <w:rPr>
          <w:sz w:val="20"/>
          <w:szCs w:val="20"/>
        </w:rPr>
        <w:t>very much worse.</w:t>
      </w:r>
      <w:r>
        <w:rPr>
          <w:sz w:val="20"/>
          <w:szCs w:val="20"/>
        </w:rPr>
        <w:t>”</w:t>
      </w:r>
    </w:p>
    <w:p w14:paraId="63E68E13" w14:textId="77777777" w:rsidR="000E1FFE" w:rsidRPr="00D81002" w:rsidRDefault="000E1FFE" w:rsidP="001E676B">
      <w:pPr>
        <w:pStyle w:val="NoSpacing"/>
        <w:numPr>
          <w:ilvl w:val="0"/>
          <w:numId w:val="18"/>
        </w:numPr>
        <w:ind w:left="1080"/>
        <w:rPr>
          <w:sz w:val="20"/>
          <w:szCs w:val="20"/>
        </w:rPr>
      </w:pPr>
      <w:r w:rsidRPr="00D81002">
        <w:rPr>
          <w:sz w:val="20"/>
          <w:szCs w:val="20"/>
        </w:rPr>
        <w:t>Mean change in 9 Hole Peg Test (9-HPT) from baseline to Week 48</w:t>
      </w:r>
    </w:p>
    <w:p w14:paraId="54D71856" w14:textId="77777777" w:rsidR="000E1FFE" w:rsidRPr="00D81002" w:rsidRDefault="000E1FFE" w:rsidP="001E676B">
      <w:pPr>
        <w:pStyle w:val="NoSpacing"/>
        <w:numPr>
          <w:ilvl w:val="1"/>
          <w:numId w:val="18"/>
        </w:numPr>
        <w:ind w:left="1440"/>
        <w:rPr>
          <w:sz w:val="20"/>
          <w:szCs w:val="20"/>
        </w:rPr>
      </w:pPr>
      <w:r w:rsidRPr="00D81002">
        <w:rPr>
          <w:sz w:val="20"/>
          <w:szCs w:val="20"/>
        </w:rPr>
        <w:t>A brief, standardized, quantitative test of upper extremity function.</w:t>
      </w:r>
    </w:p>
    <w:p w14:paraId="50817BA8" w14:textId="77777777" w:rsidR="000E1FFE" w:rsidRDefault="000E1FFE" w:rsidP="001E676B">
      <w:pPr>
        <w:pStyle w:val="NoSpacing"/>
        <w:numPr>
          <w:ilvl w:val="0"/>
          <w:numId w:val="18"/>
        </w:numPr>
        <w:ind w:left="1080"/>
        <w:rPr>
          <w:sz w:val="20"/>
          <w:szCs w:val="20"/>
        </w:rPr>
      </w:pPr>
      <w:r w:rsidRPr="00D81002">
        <w:rPr>
          <w:sz w:val="20"/>
          <w:szCs w:val="20"/>
        </w:rPr>
        <w:t>Mean change in a Timed 25 Minute Foot Walk (T25-FW).</w:t>
      </w:r>
    </w:p>
    <w:p w14:paraId="6BA37B0B" w14:textId="77777777" w:rsidR="000E1FFE" w:rsidRPr="00D81002" w:rsidRDefault="000E1FFE" w:rsidP="001E676B">
      <w:pPr>
        <w:pStyle w:val="NoSpacing"/>
        <w:numPr>
          <w:ilvl w:val="1"/>
          <w:numId w:val="18"/>
        </w:numPr>
        <w:ind w:left="1440"/>
        <w:rPr>
          <w:sz w:val="20"/>
          <w:szCs w:val="20"/>
        </w:rPr>
      </w:pPr>
      <w:r>
        <w:rPr>
          <w:sz w:val="20"/>
          <w:szCs w:val="20"/>
        </w:rPr>
        <w:t>This test is b</w:t>
      </w:r>
      <w:r w:rsidRPr="00D81002">
        <w:rPr>
          <w:sz w:val="20"/>
          <w:szCs w:val="20"/>
        </w:rPr>
        <w:t>ased on the reciprocal of average walk time from baseline to Week 48.</w:t>
      </w:r>
    </w:p>
    <w:p w14:paraId="79B435E0" w14:textId="77777777" w:rsidR="000E1FFE" w:rsidRPr="00D81002" w:rsidRDefault="000E1FFE" w:rsidP="001E676B">
      <w:pPr>
        <w:pStyle w:val="NoSpacing"/>
        <w:numPr>
          <w:ilvl w:val="1"/>
          <w:numId w:val="18"/>
        </w:numPr>
        <w:ind w:left="1440"/>
        <w:rPr>
          <w:sz w:val="20"/>
          <w:szCs w:val="20"/>
        </w:rPr>
      </w:pPr>
      <w:r w:rsidRPr="00D81002">
        <w:rPr>
          <w:sz w:val="20"/>
          <w:szCs w:val="20"/>
        </w:rPr>
        <w:t>Quantitative mobility and leg function performance test</w:t>
      </w:r>
    </w:p>
    <w:p w14:paraId="3D8E8CDD" w14:textId="77777777" w:rsidR="000E1FFE" w:rsidRPr="00D81002" w:rsidRDefault="000E1FFE" w:rsidP="001E676B">
      <w:pPr>
        <w:pStyle w:val="NoSpacing"/>
        <w:numPr>
          <w:ilvl w:val="0"/>
          <w:numId w:val="18"/>
        </w:numPr>
        <w:ind w:left="1080"/>
        <w:rPr>
          <w:sz w:val="20"/>
          <w:szCs w:val="20"/>
        </w:rPr>
      </w:pPr>
      <w:r w:rsidRPr="00D81002">
        <w:rPr>
          <w:sz w:val="20"/>
          <w:szCs w:val="20"/>
        </w:rPr>
        <w:t>Mean change in median frequency of falls (min, max) from baseline to Week 48</w:t>
      </w:r>
    </w:p>
    <w:p w14:paraId="20BECA63" w14:textId="77777777" w:rsidR="000E1FFE" w:rsidRPr="00D81002" w:rsidRDefault="000E1FFE" w:rsidP="001E676B">
      <w:pPr>
        <w:pStyle w:val="NoSpacing"/>
        <w:numPr>
          <w:ilvl w:val="0"/>
          <w:numId w:val="18"/>
        </w:numPr>
        <w:ind w:left="1080"/>
        <w:rPr>
          <w:sz w:val="20"/>
          <w:szCs w:val="20"/>
        </w:rPr>
      </w:pPr>
      <w:r w:rsidRPr="00D81002">
        <w:rPr>
          <w:sz w:val="20"/>
          <w:szCs w:val="20"/>
        </w:rPr>
        <w:t>Mean change in peak workload (watts/kg) in maximal exercise testing from baseline to Week 48.</w:t>
      </w:r>
    </w:p>
    <w:p w14:paraId="7047AB54" w14:textId="77777777" w:rsidR="000E1FFE" w:rsidRDefault="000E1FFE" w:rsidP="001E676B">
      <w:pPr>
        <w:pStyle w:val="NoSpacing"/>
        <w:numPr>
          <w:ilvl w:val="0"/>
          <w:numId w:val="18"/>
        </w:numPr>
        <w:ind w:left="1080"/>
        <w:rPr>
          <w:sz w:val="20"/>
          <w:szCs w:val="20"/>
        </w:rPr>
      </w:pPr>
      <w:r w:rsidRPr="00D81002">
        <w:rPr>
          <w:sz w:val="20"/>
          <w:szCs w:val="20"/>
        </w:rPr>
        <w:t>Mean change in Friedreich's ataxia activities of daily living (FA-ADL)</w:t>
      </w:r>
    </w:p>
    <w:p w14:paraId="7D914296" w14:textId="43B0CA24" w:rsidR="002C1B6A" w:rsidRDefault="000E1FFE" w:rsidP="001E676B">
      <w:pPr>
        <w:pStyle w:val="NoSpacing"/>
        <w:numPr>
          <w:ilvl w:val="1"/>
          <w:numId w:val="18"/>
        </w:numPr>
        <w:ind w:left="1440"/>
        <w:rPr>
          <w:sz w:val="20"/>
          <w:szCs w:val="20"/>
        </w:rPr>
      </w:pPr>
      <w:r w:rsidRPr="000E1FFE">
        <w:rPr>
          <w:sz w:val="20"/>
          <w:szCs w:val="20"/>
        </w:rPr>
        <w:t>Scored from 0 to 36, with higher scores representing more severe progression</w:t>
      </w:r>
    </w:p>
    <w:p w14:paraId="55114F30" w14:textId="77777777" w:rsidR="00DD714C" w:rsidRPr="000E1FFE" w:rsidRDefault="00DD714C" w:rsidP="00DD714C">
      <w:pPr>
        <w:pStyle w:val="NoSpacing"/>
        <w:ind w:left="1440"/>
        <w:rPr>
          <w:sz w:val="20"/>
          <w:szCs w:val="20"/>
        </w:rPr>
      </w:pPr>
    </w:p>
    <w:p w14:paraId="700D06FE" w14:textId="77777777" w:rsidR="007A6668" w:rsidRDefault="007A6668" w:rsidP="001E676B">
      <w:pPr>
        <w:pStyle w:val="NoSpacing"/>
        <w:numPr>
          <w:ilvl w:val="0"/>
          <w:numId w:val="19"/>
        </w:numPr>
        <w:rPr>
          <w:sz w:val="20"/>
          <w:szCs w:val="20"/>
        </w:rPr>
      </w:pPr>
      <w:r w:rsidRPr="00D81002">
        <w:rPr>
          <w:sz w:val="20"/>
          <w:szCs w:val="20"/>
        </w:rPr>
        <w:t>Primary</w:t>
      </w:r>
      <w:r>
        <w:rPr>
          <w:sz w:val="20"/>
          <w:szCs w:val="20"/>
        </w:rPr>
        <w:t xml:space="preserve"> E</w:t>
      </w:r>
      <w:r w:rsidRPr="00D81002">
        <w:rPr>
          <w:sz w:val="20"/>
          <w:szCs w:val="20"/>
        </w:rPr>
        <w:t>ndpoint</w:t>
      </w:r>
      <w:r>
        <w:rPr>
          <w:sz w:val="20"/>
          <w:szCs w:val="20"/>
        </w:rPr>
        <w:t xml:space="preserve"> Results</w:t>
      </w:r>
      <w:r w:rsidRPr="00D81002">
        <w:rPr>
          <w:sz w:val="20"/>
          <w:szCs w:val="20"/>
        </w:rPr>
        <w:t xml:space="preserve"> (mFARS change from baseline at week 48)</w:t>
      </w:r>
    </w:p>
    <w:tbl>
      <w:tblPr>
        <w:tblStyle w:val="TableGrid"/>
        <w:tblW w:w="8128" w:type="dxa"/>
        <w:tblInd w:w="360" w:type="dxa"/>
        <w:tblLayout w:type="fixed"/>
        <w:tblLook w:val="04A0" w:firstRow="1" w:lastRow="0" w:firstColumn="1" w:lastColumn="0" w:noHBand="0" w:noVBand="1"/>
      </w:tblPr>
      <w:tblGrid>
        <w:gridCol w:w="2378"/>
        <w:gridCol w:w="2790"/>
        <w:gridCol w:w="2960"/>
      </w:tblGrid>
      <w:tr w:rsidR="002B03D5" w14:paraId="439FBCC5" w14:textId="77777777" w:rsidTr="00E466B7">
        <w:tc>
          <w:tcPr>
            <w:tcW w:w="2378" w:type="dxa"/>
          </w:tcPr>
          <w:p w14:paraId="55637A77" w14:textId="77777777" w:rsidR="002B03D5" w:rsidRPr="003308E7" w:rsidRDefault="002B03D5" w:rsidP="003D0053">
            <w:pPr>
              <w:pStyle w:val="NoSpacing"/>
              <w:rPr>
                <w:sz w:val="20"/>
                <w:szCs w:val="20"/>
              </w:rPr>
            </w:pPr>
          </w:p>
        </w:tc>
        <w:tc>
          <w:tcPr>
            <w:tcW w:w="2790" w:type="dxa"/>
          </w:tcPr>
          <w:p w14:paraId="645E172C" w14:textId="77777777" w:rsidR="002B03D5" w:rsidRPr="00E466B7" w:rsidRDefault="002B03D5" w:rsidP="00E466B7">
            <w:pPr>
              <w:jc w:val="center"/>
              <w:rPr>
                <w:b/>
                <w:bCs/>
                <w:color w:val="040C28"/>
                <w:szCs w:val="20"/>
              </w:rPr>
            </w:pPr>
            <w:r w:rsidRPr="00E466B7">
              <w:rPr>
                <w:b/>
                <w:bCs/>
                <w:color w:val="040C28"/>
                <w:szCs w:val="20"/>
              </w:rPr>
              <w:t>Skyclarys</w:t>
            </w:r>
          </w:p>
          <w:p w14:paraId="08ABDB10" w14:textId="77777777" w:rsidR="002B03D5" w:rsidRPr="00E466B7" w:rsidRDefault="002B03D5" w:rsidP="00E466B7">
            <w:pPr>
              <w:pStyle w:val="NoSpacing"/>
              <w:jc w:val="center"/>
              <w:rPr>
                <w:b/>
                <w:bCs/>
                <w:sz w:val="20"/>
                <w:szCs w:val="20"/>
              </w:rPr>
            </w:pPr>
            <w:r w:rsidRPr="00E466B7">
              <w:rPr>
                <w:b/>
                <w:bCs/>
                <w:color w:val="040C28"/>
                <w:sz w:val="20"/>
                <w:szCs w:val="20"/>
              </w:rPr>
              <w:t>(n=40)</w:t>
            </w:r>
          </w:p>
        </w:tc>
        <w:tc>
          <w:tcPr>
            <w:tcW w:w="2960" w:type="dxa"/>
          </w:tcPr>
          <w:p w14:paraId="43FFB3C1" w14:textId="77777777" w:rsidR="002B03D5" w:rsidRPr="00E466B7" w:rsidRDefault="002B03D5" w:rsidP="00E466B7">
            <w:pPr>
              <w:pStyle w:val="NoSpacing"/>
              <w:jc w:val="center"/>
              <w:rPr>
                <w:b/>
                <w:bCs/>
                <w:sz w:val="20"/>
                <w:szCs w:val="20"/>
              </w:rPr>
            </w:pPr>
            <w:r w:rsidRPr="00E466B7">
              <w:rPr>
                <w:b/>
                <w:bCs/>
                <w:color w:val="040C28"/>
                <w:sz w:val="20"/>
                <w:szCs w:val="20"/>
              </w:rPr>
              <w:t>Placebo (n=42)</w:t>
            </w:r>
          </w:p>
        </w:tc>
      </w:tr>
      <w:tr w:rsidR="002B03D5" w14:paraId="020B1634" w14:textId="77777777" w:rsidTr="003D0053">
        <w:tc>
          <w:tcPr>
            <w:tcW w:w="2378" w:type="dxa"/>
          </w:tcPr>
          <w:p w14:paraId="62199A3F" w14:textId="77777777" w:rsidR="002B03D5" w:rsidRPr="003308E7" w:rsidRDefault="002B03D5" w:rsidP="003D0053">
            <w:pPr>
              <w:pStyle w:val="NoSpacing"/>
              <w:rPr>
                <w:sz w:val="20"/>
                <w:szCs w:val="20"/>
              </w:rPr>
            </w:pPr>
            <w:r w:rsidRPr="003308E7">
              <w:rPr>
                <w:color w:val="040C28"/>
                <w:sz w:val="20"/>
                <w:szCs w:val="20"/>
              </w:rPr>
              <w:t>mFARS baseline score</w:t>
            </w:r>
          </w:p>
        </w:tc>
        <w:tc>
          <w:tcPr>
            <w:tcW w:w="2790" w:type="dxa"/>
          </w:tcPr>
          <w:p w14:paraId="0B3F4412" w14:textId="77777777" w:rsidR="002B03D5" w:rsidRPr="003308E7" w:rsidRDefault="002B03D5" w:rsidP="003D0053">
            <w:pPr>
              <w:pStyle w:val="NoSpacing"/>
              <w:jc w:val="center"/>
              <w:rPr>
                <w:sz w:val="20"/>
                <w:szCs w:val="20"/>
              </w:rPr>
            </w:pPr>
            <w:r w:rsidRPr="003308E7">
              <w:rPr>
                <w:color w:val="040C28"/>
                <w:sz w:val="20"/>
                <w:szCs w:val="20"/>
              </w:rPr>
              <w:t>40.9</w:t>
            </w:r>
          </w:p>
        </w:tc>
        <w:tc>
          <w:tcPr>
            <w:tcW w:w="2960" w:type="dxa"/>
          </w:tcPr>
          <w:p w14:paraId="15233092" w14:textId="77777777" w:rsidR="002B03D5" w:rsidRPr="003308E7" w:rsidRDefault="002B03D5" w:rsidP="003D0053">
            <w:pPr>
              <w:pStyle w:val="NoSpacing"/>
              <w:jc w:val="center"/>
              <w:rPr>
                <w:sz w:val="20"/>
                <w:szCs w:val="20"/>
              </w:rPr>
            </w:pPr>
            <w:r w:rsidRPr="003308E7">
              <w:rPr>
                <w:color w:val="040C28"/>
                <w:sz w:val="20"/>
                <w:szCs w:val="20"/>
              </w:rPr>
              <w:t>38.8</w:t>
            </w:r>
          </w:p>
        </w:tc>
      </w:tr>
      <w:tr w:rsidR="002B03D5" w14:paraId="531ECC4C" w14:textId="77777777" w:rsidTr="003D0053">
        <w:tc>
          <w:tcPr>
            <w:tcW w:w="2378" w:type="dxa"/>
          </w:tcPr>
          <w:p w14:paraId="7E5F6F1A" w14:textId="77777777" w:rsidR="002B03D5" w:rsidRPr="003308E7" w:rsidRDefault="002B03D5" w:rsidP="003D0053">
            <w:pPr>
              <w:pStyle w:val="NoSpacing"/>
              <w:rPr>
                <w:sz w:val="20"/>
                <w:szCs w:val="20"/>
              </w:rPr>
            </w:pPr>
            <w:r w:rsidRPr="003308E7">
              <w:rPr>
                <w:color w:val="040C28"/>
                <w:sz w:val="20"/>
                <w:szCs w:val="20"/>
              </w:rPr>
              <w:t>Week 48 Change from Baseline, mean</w:t>
            </w:r>
          </w:p>
        </w:tc>
        <w:tc>
          <w:tcPr>
            <w:tcW w:w="2790" w:type="dxa"/>
          </w:tcPr>
          <w:p w14:paraId="2E362AB7" w14:textId="77777777" w:rsidR="002B03D5" w:rsidRPr="003308E7" w:rsidRDefault="002B03D5" w:rsidP="003D0053">
            <w:pPr>
              <w:jc w:val="center"/>
              <w:rPr>
                <w:color w:val="040C28"/>
                <w:szCs w:val="20"/>
              </w:rPr>
            </w:pPr>
            <w:r w:rsidRPr="003308E7">
              <w:rPr>
                <w:color w:val="040C28"/>
                <w:szCs w:val="20"/>
              </w:rPr>
              <w:t>-1.55 +/- 0.69 points</w:t>
            </w:r>
          </w:p>
          <w:p w14:paraId="6F117908" w14:textId="77777777" w:rsidR="002B03D5" w:rsidRPr="003308E7" w:rsidRDefault="002B03D5" w:rsidP="003D0053">
            <w:pPr>
              <w:pStyle w:val="NoSpacing"/>
              <w:jc w:val="center"/>
              <w:rPr>
                <w:sz w:val="20"/>
                <w:szCs w:val="20"/>
              </w:rPr>
            </w:pPr>
            <w:r w:rsidRPr="003308E7">
              <w:rPr>
                <w:color w:val="040C28"/>
                <w:sz w:val="20"/>
                <w:szCs w:val="20"/>
              </w:rPr>
              <w:t>(95% CI: -2.93 to -0.18)</w:t>
            </w:r>
          </w:p>
          <w:p w14:paraId="0C5D1DD9" w14:textId="77777777" w:rsidR="002B03D5" w:rsidRPr="003308E7" w:rsidRDefault="002B03D5" w:rsidP="003D0053">
            <w:pPr>
              <w:jc w:val="center"/>
              <w:rPr>
                <w:rFonts w:eastAsia="Arial"/>
                <w:szCs w:val="20"/>
              </w:rPr>
            </w:pPr>
          </w:p>
        </w:tc>
        <w:tc>
          <w:tcPr>
            <w:tcW w:w="2960" w:type="dxa"/>
          </w:tcPr>
          <w:p w14:paraId="6B4EBDB5" w14:textId="77777777" w:rsidR="002B03D5" w:rsidRPr="003308E7" w:rsidRDefault="002B03D5" w:rsidP="003D0053">
            <w:pPr>
              <w:jc w:val="center"/>
              <w:rPr>
                <w:color w:val="040C28"/>
                <w:szCs w:val="20"/>
              </w:rPr>
            </w:pPr>
            <w:r w:rsidRPr="003308E7">
              <w:rPr>
                <w:color w:val="040C28"/>
                <w:szCs w:val="20"/>
              </w:rPr>
              <w:t>0.85 +/- 0.64 points</w:t>
            </w:r>
          </w:p>
          <w:p w14:paraId="46D0CB94" w14:textId="77777777" w:rsidR="002B03D5" w:rsidRPr="003308E7" w:rsidRDefault="002B03D5" w:rsidP="003D0053">
            <w:pPr>
              <w:pStyle w:val="NoSpacing"/>
              <w:jc w:val="center"/>
              <w:rPr>
                <w:sz w:val="20"/>
                <w:szCs w:val="20"/>
              </w:rPr>
            </w:pPr>
            <w:r w:rsidRPr="003308E7">
              <w:rPr>
                <w:color w:val="040C28"/>
                <w:sz w:val="20"/>
                <w:szCs w:val="20"/>
              </w:rPr>
              <w:t>(95% CI: -0.43 to 2.13)</w:t>
            </w:r>
          </w:p>
        </w:tc>
      </w:tr>
    </w:tbl>
    <w:p w14:paraId="51B8BD60" w14:textId="23B50546" w:rsidR="00E466B7" w:rsidRDefault="00E466B7" w:rsidP="001E676B">
      <w:pPr>
        <w:pStyle w:val="NoSpacing"/>
        <w:numPr>
          <w:ilvl w:val="0"/>
          <w:numId w:val="28"/>
        </w:numPr>
        <w:ind w:left="720"/>
        <w:rPr>
          <w:sz w:val="20"/>
          <w:szCs w:val="20"/>
        </w:rPr>
      </w:pPr>
      <w:r w:rsidRPr="00E466B7">
        <w:rPr>
          <w:sz w:val="20"/>
          <w:szCs w:val="20"/>
        </w:rPr>
        <w:t>Mean difference between treatment groups</w:t>
      </w:r>
      <w:r>
        <w:rPr>
          <w:sz w:val="20"/>
          <w:szCs w:val="20"/>
        </w:rPr>
        <w:t xml:space="preserve"> </w:t>
      </w:r>
      <w:r w:rsidR="00055691">
        <w:rPr>
          <w:sz w:val="20"/>
          <w:szCs w:val="20"/>
        </w:rPr>
        <w:t>(</w:t>
      </w:r>
      <w:r w:rsidRPr="00E466B7">
        <w:rPr>
          <w:sz w:val="20"/>
          <w:szCs w:val="20"/>
        </w:rPr>
        <w:t>-2.40 +/- 0.96 points</w:t>
      </w:r>
      <w:r w:rsidR="00055691">
        <w:rPr>
          <w:sz w:val="20"/>
          <w:szCs w:val="20"/>
        </w:rPr>
        <w:t xml:space="preserve"> </w:t>
      </w:r>
      <w:r w:rsidRPr="00E466B7">
        <w:rPr>
          <w:sz w:val="20"/>
          <w:szCs w:val="20"/>
        </w:rPr>
        <w:t>(95% CI: -4.31 to -0.5)</w:t>
      </w:r>
      <w:r w:rsidR="00055691">
        <w:rPr>
          <w:sz w:val="20"/>
          <w:szCs w:val="20"/>
        </w:rPr>
        <w:t xml:space="preserve"> </w:t>
      </w:r>
      <w:r w:rsidRPr="00E466B7">
        <w:rPr>
          <w:sz w:val="20"/>
          <w:szCs w:val="20"/>
        </w:rPr>
        <w:t>(P= 0.014)</w:t>
      </w:r>
      <w:r w:rsidR="00055691">
        <w:rPr>
          <w:sz w:val="20"/>
          <w:szCs w:val="20"/>
        </w:rPr>
        <w:t>)</w:t>
      </w:r>
    </w:p>
    <w:p w14:paraId="741050F2" w14:textId="77777777" w:rsidR="00055691" w:rsidRDefault="00055691" w:rsidP="00055691">
      <w:pPr>
        <w:pStyle w:val="NoSpacing"/>
        <w:ind w:left="1080"/>
        <w:rPr>
          <w:sz w:val="20"/>
          <w:szCs w:val="20"/>
        </w:rPr>
      </w:pPr>
    </w:p>
    <w:p w14:paraId="58F0F388" w14:textId="4ACDBC2C" w:rsidR="003B1CAD" w:rsidRDefault="003B1CAD" w:rsidP="001E676B">
      <w:pPr>
        <w:pStyle w:val="NoSpacing"/>
        <w:numPr>
          <w:ilvl w:val="0"/>
          <w:numId w:val="13"/>
        </w:numPr>
        <w:rPr>
          <w:sz w:val="20"/>
          <w:szCs w:val="20"/>
        </w:rPr>
      </w:pPr>
      <w:r w:rsidRPr="00213896">
        <w:rPr>
          <w:sz w:val="20"/>
          <w:szCs w:val="20"/>
        </w:rPr>
        <w:t xml:space="preserve">Secondary </w:t>
      </w:r>
      <w:r>
        <w:rPr>
          <w:sz w:val="20"/>
          <w:szCs w:val="20"/>
        </w:rPr>
        <w:t>E</w:t>
      </w:r>
      <w:r w:rsidRPr="00213896">
        <w:rPr>
          <w:sz w:val="20"/>
          <w:szCs w:val="20"/>
        </w:rPr>
        <w:t>ndpoint</w:t>
      </w:r>
      <w:r>
        <w:rPr>
          <w:sz w:val="20"/>
          <w:szCs w:val="20"/>
        </w:rPr>
        <w:t xml:space="preserve"> Results</w:t>
      </w:r>
      <w:r w:rsidRPr="00213896">
        <w:rPr>
          <w:sz w:val="20"/>
          <w:szCs w:val="20"/>
        </w:rPr>
        <w:t>:</w:t>
      </w:r>
    </w:p>
    <w:p w14:paraId="2EBB955A" w14:textId="77777777" w:rsidR="003B1CAD" w:rsidRDefault="003B1CAD" w:rsidP="001E676B">
      <w:pPr>
        <w:pStyle w:val="NoSpacing"/>
        <w:numPr>
          <w:ilvl w:val="1"/>
          <w:numId w:val="13"/>
        </w:numPr>
        <w:ind w:left="720"/>
        <w:rPr>
          <w:sz w:val="20"/>
          <w:szCs w:val="20"/>
        </w:rPr>
      </w:pPr>
      <w:r w:rsidRPr="00213896">
        <w:rPr>
          <w:sz w:val="20"/>
          <w:szCs w:val="20"/>
        </w:rPr>
        <w:t xml:space="preserve">The study was not powered to detect a statistical difference between treatment groups in the secondary endpoints. </w:t>
      </w:r>
    </w:p>
    <w:p w14:paraId="6D5D7B94" w14:textId="77777777" w:rsidR="003B1CAD" w:rsidRDefault="003B1CAD" w:rsidP="001E676B">
      <w:pPr>
        <w:pStyle w:val="NoSpacing"/>
        <w:numPr>
          <w:ilvl w:val="1"/>
          <w:numId w:val="13"/>
        </w:numPr>
        <w:ind w:left="720"/>
        <w:rPr>
          <w:sz w:val="20"/>
          <w:szCs w:val="20"/>
        </w:rPr>
      </w:pPr>
      <w:r>
        <w:rPr>
          <w:sz w:val="20"/>
          <w:szCs w:val="20"/>
        </w:rPr>
        <w:t>Skyclarys</w:t>
      </w:r>
      <w:r w:rsidRPr="00213896">
        <w:rPr>
          <w:sz w:val="20"/>
          <w:szCs w:val="20"/>
        </w:rPr>
        <w:t xml:space="preserve"> did not significantly improve any secondary efficacy measures relative to placebo.</w:t>
      </w:r>
    </w:p>
    <w:p w14:paraId="365ACD75" w14:textId="77777777" w:rsidR="003B1CAD" w:rsidRDefault="003B1CAD" w:rsidP="001E676B">
      <w:pPr>
        <w:pStyle w:val="NoSpacing"/>
        <w:numPr>
          <w:ilvl w:val="1"/>
          <w:numId w:val="13"/>
        </w:numPr>
        <w:ind w:left="720"/>
        <w:rPr>
          <w:sz w:val="20"/>
          <w:szCs w:val="20"/>
        </w:rPr>
      </w:pPr>
      <w:r w:rsidRPr="00213896">
        <w:rPr>
          <w:sz w:val="20"/>
          <w:szCs w:val="20"/>
        </w:rPr>
        <w:t>Some measures are not expected to change within 1 year based on natural history data in patients with FA.</w:t>
      </w:r>
    </w:p>
    <w:p w14:paraId="5488E289" w14:textId="77777777" w:rsidR="003B1CAD" w:rsidRDefault="003B1CAD" w:rsidP="001E676B">
      <w:pPr>
        <w:pStyle w:val="NoSpacing"/>
        <w:numPr>
          <w:ilvl w:val="0"/>
          <w:numId w:val="13"/>
        </w:numPr>
        <w:rPr>
          <w:sz w:val="20"/>
          <w:szCs w:val="20"/>
        </w:rPr>
      </w:pPr>
      <w:r>
        <w:rPr>
          <w:sz w:val="20"/>
          <w:szCs w:val="20"/>
        </w:rPr>
        <w:t xml:space="preserve">Patients with pes cavus </w:t>
      </w:r>
      <w:r w:rsidRPr="00671019">
        <w:rPr>
          <w:sz w:val="20"/>
          <w:szCs w:val="20"/>
        </w:rPr>
        <w:t xml:space="preserve">experienced the </w:t>
      </w:r>
      <w:r>
        <w:rPr>
          <w:sz w:val="20"/>
          <w:szCs w:val="20"/>
        </w:rPr>
        <w:t>least</w:t>
      </w:r>
      <w:r w:rsidRPr="00671019">
        <w:rPr>
          <w:sz w:val="20"/>
          <w:szCs w:val="20"/>
        </w:rPr>
        <w:t xml:space="preserve"> improvements in mFARS</w:t>
      </w:r>
      <w:r>
        <w:rPr>
          <w:sz w:val="20"/>
          <w:szCs w:val="20"/>
        </w:rPr>
        <w:t xml:space="preserve"> scores.</w:t>
      </w:r>
    </w:p>
    <w:p w14:paraId="2267843A" w14:textId="77777777" w:rsidR="003B1CAD" w:rsidRDefault="003B1CAD" w:rsidP="001E676B">
      <w:pPr>
        <w:pStyle w:val="NoSpacing"/>
        <w:numPr>
          <w:ilvl w:val="0"/>
          <w:numId w:val="13"/>
        </w:numPr>
        <w:contextualSpacing/>
        <w:rPr>
          <w:sz w:val="20"/>
          <w:szCs w:val="20"/>
        </w:rPr>
      </w:pPr>
      <w:r w:rsidRPr="003308E7">
        <w:rPr>
          <w:sz w:val="20"/>
          <w:szCs w:val="20"/>
        </w:rPr>
        <w:t>MOXIe Extension Study</w:t>
      </w:r>
    </w:p>
    <w:p w14:paraId="78487278" w14:textId="77777777" w:rsidR="003B1CAD" w:rsidRDefault="003B1CAD" w:rsidP="001E676B">
      <w:pPr>
        <w:pStyle w:val="ListParagraph"/>
        <w:numPr>
          <w:ilvl w:val="1"/>
          <w:numId w:val="13"/>
        </w:numPr>
        <w:ind w:left="720"/>
        <w:rPr>
          <w:rFonts w:eastAsia="Arial" w:cs="Arial"/>
          <w:szCs w:val="20"/>
        </w:rPr>
      </w:pPr>
      <w:r w:rsidRPr="003308E7">
        <w:rPr>
          <w:rFonts w:eastAsia="Arial" w:cs="Arial"/>
          <w:szCs w:val="20"/>
        </w:rPr>
        <w:t xml:space="preserve">The Extension phase of the trial </w:t>
      </w:r>
      <w:r>
        <w:rPr>
          <w:rFonts w:eastAsia="Arial" w:cs="Arial"/>
          <w:szCs w:val="20"/>
        </w:rPr>
        <w:t>assessed</w:t>
      </w:r>
      <w:r w:rsidRPr="003308E7">
        <w:rPr>
          <w:rFonts w:eastAsia="Arial" w:cs="Arial"/>
          <w:szCs w:val="20"/>
        </w:rPr>
        <w:t xml:space="preserve"> the long-term safety and tolerability of </w:t>
      </w:r>
      <w:r>
        <w:rPr>
          <w:rFonts w:eastAsia="Arial" w:cs="Arial"/>
          <w:szCs w:val="20"/>
        </w:rPr>
        <w:t>Skyclarys</w:t>
      </w:r>
      <w:r w:rsidRPr="003308E7">
        <w:rPr>
          <w:rFonts w:eastAsia="Arial" w:cs="Arial"/>
          <w:szCs w:val="20"/>
        </w:rPr>
        <w:t xml:space="preserve"> in qualified patients</w:t>
      </w:r>
      <w:r>
        <w:rPr>
          <w:rFonts w:eastAsia="Arial" w:cs="Arial"/>
          <w:szCs w:val="20"/>
        </w:rPr>
        <w:t xml:space="preserve"> with FA</w:t>
      </w:r>
      <w:r w:rsidRPr="003308E7">
        <w:rPr>
          <w:rFonts w:eastAsia="Arial" w:cs="Arial"/>
          <w:szCs w:val="20"/>
        </w:rPr>
        <w:t xml:space="preserve"> following completion of Part 1 or Part 2. There w</w:t>
      </w:r>
      <w:r>
        <w:rPr>
          <w:rFonts w:eastAsia="Arial" w:cs="Arial"/>
          <w:szCs w:val="20"/>
        </w:rPr>
        <w:t>ere</w:t>
      </w:r>
      <w:r w:rsidRPr="003308E7">
        <w:rPr>
          <w:rFonts w:eastAsia="Arial" w:cs="Arial"/>
          <w:szCs w:val="20"/>
        </w:rPr>
        <w:t xml:space="preserve"> a total of 149 patients enrolled (57 patients from MOXIe Part 1 and 92 patients from MOXIe Part 2). </w:t>
      </w:r>
    </w:p>
    <w:p w14:paraId="0E5C57CA" w14:textId="77777777" w:rsidR="003B1CAD" w:rsidRPr="003308E7" w:rsidRDefault="003B1CAD" w:rsidP="001E676B">
      <w:pPr>
        <w:pStyle w:val="ListParagraph"/>
        <w:numPr>
          <w:ilvl w:val="1"/>
          <w:numId w:val="13"/>
        </w:numPr>
        <w:ind w:left="720"/>
        <w:rPr>
          <w:rFonts w:eastAsia="Arial" w:cs="Arial"/>
          <w:szCs w:val="20"/>
        </w:rPr>
      </w:pPr>
      <w:r w:rsidRPr="003308E7">
        <w:rPr>
          <w:rFonts w:eastAsia="Arial" w:cs="Arial"/>
          <w:szCs w:val="20"/>
        </w:rPr>
        <w:t>Th</w:t>
      </w:r>
      <w:r>
        <w:rPr>
          <w:rFonts w:eastAsia="Arial" w:cs="Arial"/>
          <w:szCs w:val="20"/>
        </w:rPr>
        <w:t>is</w:t>
      </w:r>
      <w:r w:rsidRPr="003308E7">
        <w:rPr>
          <w:rFonts w:eastAsia="Arial" w:cs="Arial"/>
          <w:szCs w:val="20"/>
        </w:rPr>
        <w:t xml:space="preserve"> study was completed in December 2022.</w:t>
      </w:r>
    </w:p>
    <w:p w14:paraId="7E4F5D48" w14:textId="77777777" w:rsidR="003B1CAD" w:rsidRPr="008029F8" w:rsidRDefault="003B1CAD" w:rsidP="001E676B">
      <w:pPr>
        <w:pStyle w:val="NoSpacing"/>
        <w:numPr>
          <w:ilvl w:val="1"/>
          <w:numId w:val="13"/>
        </w:numPr>
        <w:ind w:left="720"/>
        <w:contextualSpacing/>
        <w:rPr>
          <w:sz w:val="20"/>
          <w:szCs w:val="20"/>
        </w:rPr>
      </w:pPr>
      <w:r w:rsidRPr="008029F8">
        <w:rPr>
          <w:sz w:val="20"/>
          <w:szCs w:val="20"/>
        </w:rPr>
        <w:t>This analysis compared the change from baseline in mFARS for patients without pes cavus randomized to placebo during MOXIe Part 2 (placebo to Omav) to patients randomized to Skyclarys during MOXIe Part 2 (Omav to Omav).</w:t>
      </w:r>
    </w:p>
    <w:p w14:paraId="679C023A" w14:textId="0BD9E05B" w:rsidR="0075186D" w:rsidRDefault="003B1CAD" w:rsidP="001E676B">
      <w:pPr>
        <w:pStyle w:val="NoSpacing"/>
        <w:numPr>
          <w:ilvl w:val="1"/>
          <w:numId w:val="13"/>
        </w:numPr>
        <w:ind w:left="720"/>
        <w:contextualSpacing/>
        <w:rPr>
          <w:sz w:val="20"/>
          <w:szCs w:val="20"/>
        </w:rPr>
      </w:pPr>
      <w:r w:rsidRPr="008029F8">
        <w:rPr>
          <w:sz w:val="20"/>
          <w:szCs w:val="20"/>
        </w:rPr>
        <w:t>If the treatment effect at MOXIe Extension Week 72 is maintained or noninferior to the treatment effect at MOXIe Part 2 Week 48, it demonstrates evidence of a persistent effect on the disease course. If the treatment effect is not maintained</w:t>
      </w:r>
      <w:r w:rsidR="008029F8" w:rsidRPr="008029F8">
        <w:rPr>
          <w:sz w:val="20"/>
          <w:szCs w:val="20"/>
        </w:rPr>
        <w:t xml:space="preserve"> and the patients originally randomized to placebo are able to achieve the same absolute response and “catch up” to the patients initially randomized to Skyclarys, the results are consistent with a symptomatic treatment that does not affect the underlying course of the disease.</w:t>
      </w:r>
    </w:p>
    <w:p w14:paraId="1AD20673" w14:textId="77777777" w:rsidR="002434FB" w:rsidRPr="00671019" w:rsidRDefault="002434FB" w:rsidP="001E676B">
      <w:pPr>
        <w:pStyle w:val="NoSpacing"/>
        <w:numPr>
          <w:ilvl w:val="1"/>
          <w:numId w:val="13"/>
        </w:numPr>
        <w:ind w:left="720"/>
        <w:rPr>
          <w:sz w:val="20"/>
          <w:szCs w:val="20"/>
        </w:rPr>
      </w:pPr>
      <w:r w:rsidRPr="00671019">
        <w:rPr>
          <w:sz w:val="20"/>
          <w:szCs w:val="20"/>
        </w:rPr>
        <w:t xml:space="preserve">More than 50% of the difference between groups in mFARS observed at MOXIe Part 2 Week 48 (−2.25, P = 0.037) was preserved at MOXIe Extension Week 72 (−3.51, P = 0.016). </w:t>
      </w:r>
    </w:p>
    <w:p w14:paraId="064E3443" w14:textId="77777777" w:rsidR="002434FB" w:rsidRDefault="002434FB" w:rsidP="001E676B">
      <w:pPr>
        <w:pStyle w:val="NoSpacing"/>
        <w:numPr>
          <w:ilvl w:val="1"/>
          <w:numId w:val="13"/>
        </w:numPr>
        <w:ind w:left="720"/>
        <w:rPr>
          <w:sz w:val="20"/>
          <w:szCs w:val="20"/>
        </w:rPr>
      </w:pPr>
      <w:r w:rsidRPr="00671019">
        <w:rPr>
          <w:sz w:val="20"/>
          <w:szCs w:val="20"/>
        </w:rPr>
        <w:t>In the MOXIe Extension phase,</w:t>
      </w:r>
      <w:r>
        <w:rPr>
          <w:sz w:val="20"/>
          <w:szCs w:val="20"/>
        </w:rPr>
        <w:t xml:space="preserve"> patients taking Skyclarys progressed at a rate of 0.5 points on the mFARS scale, while natural progression of the diseases increases at a of 2 points per year on the mFARS scale.</w:t>
      </w:r>
    </w:p>
    <w:p w14:paraId="01379096" w14:textId="77777777" w:rsidR="002434FB" w:rsidRDefault="002434FB" w:rsidP="001E676B">
      <w:pPr>
        <w:pStyle w:val="NoSpacing"/>
        <w:numPr>
          <w:ilvl w:val="1"/>
          <w:numId w:val="13"/>
        </w:numPr>
        <w:ind w:left="720"/>
        <w:rPr>
          <w:sz w:val="20"/>
          <w:szCs w:val="20"/>
        </w:rPr>
      </w:pPr>
      <w:r w:rsidRPr="00671019">
        <w:rPr>
          <w:sz w:val="20"/>
          <w:szCs w:val="20"/>
        </w:rPr>
        <w:t xml:space="preserve">Overall, the Delayed-Start analysis results indicate a persistent </w:t>
      </w:r>
      <w:r>
        <w:rPr>
          <w:sz w:val="20"/>
          <w:szCs w:val="20"/>
        </w:rPr>
        <w:t>Skyclarys</w:t>
      </w:r>
      <w:r w:rsidRPr="00671019">
        <w:rPr>
          <w:sz w:val="20"/>
          <w:szCs w:val="20"/>
        </w:rPr>
        <w:t xml:space="preserve"> treatment effect on the course of FA. Figure 1 shows the Delayed-Start analysis change from baseline in mFARS.</w:t>
      </w:r>
    </w:p>
    <w:p w14:paraId="189803AF" w14:textId="1A984E71" w:rsidR="002434FB" w:rsidRDefault="00950ED4" w:rsidP="00EB7F66">
      <w:pPr>
        <w:pStyle w:val="NoSpacing"/>
        <w:contextualSpacing/>
        <w:jc w:val="center"/>
        <w:rPr>
          <w:sz w:val="20"/>
          <w:szCs w:val="20"/>
        </w:rPr>
      </w:pPr>
      <w:r w:rsidRPr="00D86059">
        <w:rPr>
          <w:noProof/>
        </w:rPr>
        <w:lastRenderedPageBreak/>
        <w:drawing>
          <wp:inline distT="0" distB="0" distL="0" distR="0" wp14:anchorId="60060D48" wp14:editId="7382A054">
            <wp:extent cx="5181600" cy="2993813"/>
            <wp:effectExtent l="0" t="0" r="0" b="0"/>
            <wp:docPr id="11" name="Picture 11" descr="Chart Displaying Change from Baseline in mFARS scores. Least Squares Means +/- Standard Error over Study Wee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Displaying Change from Baseline in mFARS scores. Least Squares Means +/- Standard Error over Study Week Time"/>
                    <pic:cNvPicPr/>
                  </pic:nvPicPr>
                  <pic:blipFill>
                    <a:blip r:embed="rId11"/>
                    <a:stretch>
                      <a:fillRect/>
                    </a:stretch>
                  </pic:blipFill>
                  <pic:spPr>
                    <a:xfrm>
                      <a:off x="0" y="0"/>
                      <a:ext cx="5194461" cy="3001244"/>
                    </a:xfrm>
                    <a:prstGeom prst="rect">
                      <a:avLst/>
                    </a:prstGeom>
                  </pic:spPr>
                </pic:pic>
              </a:graphicData>
            </a:graphic>
          </wp:inline>
        </w:drawing>
      </w:r>
    </w:p>
    <w:p w14:paraId="6D279E28" w14:textId="77777777" w:rsidR="00F0620E" w:rsidRDefault="00F0620E" w:rsidP="001E676B">
      <w:pPr>
        <w:pStyle w:val="NoSpacing"/>
        <w:numPr>
          <w:ilvl w:val="0"/>
          <w:numId w:val="13"/>
        </w:numPr>
        <w:rPr>
          <w:sz w:val="20"/>
          <w:szCs w:val="20"/>
        </w:rPr>
      </w:pPr>
      <w:r>
        <w:rPr>
          <w:sz w:val="20"/>
          <w:szCs w:val="20"/>
        </w:rPr>
        <w:t>P</w:t>
      </w:r>
      <w:r w:rsidRPr="00671019">
        <w:rPr>
          <w:sz w:val="20"/>
          <w:szCs w:val="20"/>
        </w:rPr>
        <w:t xml:space="preserve">opulations </w:t>
      </w:r>
      <w:r>
        <w:rPr>
          <w:sz w:val="20"/>
          <w:szCs w:val="20"/>
        </w:rPr>
        <w:t xml:space="preserve">that </w:t>
      </w:r>
      <w:r w:rsidRPr="00671019">
        <w:rPr>
          <w:sz w:val="20"/>
          <w:szCs w:val="20"/>
        </w:rPr>
        <w:t>experienced the greatest improvements in mFARS:</w:t>
      </w:r>
    </w:p>
    <w:p w14:paraId="23EB4677" w14:textId="77777777" w:rsidR="00F0620E" w:rsidRDefault="00F0620E" w:rsidP="001E676B">
      <w:pPr>
        <w:pStyle w:val="NoSpacing"/>
        <w:numPr>
          <w:ilvl w:val="1"/>
          <w:numId w:val="13"/>
        </w:numPr>
        <w:ind w:left="720"/>
        <w:rPr>
          <w:sz w:val="20"/>
          <w:szCs w:val="20"/>
        </w:rPr>
      </w:pPr>
      <w:r w:rsidRPr="00671019">
        <w:rPr>
          <w:sz w:val="20"/>
          <w:szCs w:val="20"/>
        </w:rPr>
        <w:t>Patients &lt;18 years of age</w:t>
      </w:r>
    </w:p>
    <w:p w14:paraId="13FB064B" w14:textId="77777777" w:rsidR="00F0620E" w:rsidRPr="00671019" w:rsidRDefault="00F0620E" w:rsidP="001E676B">
      <w:pPr>
        <w:pStyle w:val="NoSpacing"/>
        <w:numPr>
          <w:ilvl w:val="1"/>
          <w:numId w:val="13"/>
        </w:numPr>
        <w:ind w:left="720"/>
        <w:rPr>
          <w:sz w:val="20"/>
          <w:szCs w:val="20"/>
        </w:rPr>
      </w:pPr>
      <w:r w:rsidRPr="00671019">
        <w:rPr>
          <w:sz w:val="20"/>
          <w:szCs w:val="20"/>
        </w:rPr>
        <w:t xml:space="preserve">Males  </w:t>
      </w:r>
    </w:p>
    <w:p w14:paraId="202D3487" w14:textId="77777777" w:rsidR="00F0620E" w:rsidRDefault="00F0620E" w:rsidP="001E676B">
      <w:pPr>
        <w:pStyle w:val="NoSpacing"/>
        <w:numPr>
          <w:ilvl w:val="1"/>
          <w:numId w:val="13"/>
        </w:numPr>
        <w:ind w:left="720"/>
        <w:rPr>
          <w:sz w:val="20"/>
          <w:szCs w:val="20"/>
        </w:rPr>
      </w:pPr>
      <w:r w:rsidRPr="00671019">
        <w:rPr>
          <w:sz w:val="20"/>
          <w:szCs w:val="20"/>
        </w:rPr>
        <w:t>GAA repeat length ≥675</w:t>
      </w:r>
    </w:p>
    <w:p w14:paraId="0144EB40" w14:textId="77777777" w:rsidR="00F0620E" w:rsidRDefault="00F0620E" w:rsidP="001E676B">
      <w:pPr>
        <w:pStyle w:val="NoSpacing"/>
        <w:numPr>
          <w:ilvl w:val="0"/>
          <w:numId w:val="13"/>
        </w:numPr>
        <w:rPr>
          <w:sz w:val="20"/>
          <w:szCs w:val="20"/>
        </w:rPr>
      </w:pPr>
      <w:r>
        <w:rPr>
          <w:sz w:val="20"/>
          <w:szCs w:val="20"/>
        </w:rPr>
        <w:t>Safety</w:t>
      </w:r>
    </w:p>
    <w:p w14:paraId="4C019F4F" w14:textId="77777777" w:rsidR="00F0620E" w:rsidRPr="00D35B2B" w:rsidRDefault="00F0620E" w:rsidP="001E676B">
      <w:pPr>
        <w:pStyle w:val="NoSpacing"/>
        <w:numPr>
          <w:ilvl w:val="1"/>
          <w:numId w:val="13"/>
        </w:numPr>
        <w:ind w:left="720"/>
        <w:rPr>
          <w:sz w:val="20"/>
          <w:szCs w:val="20"/>
        </w:rPr>
      </w:pPr>
      <w:r w:rsidRPr="002E5F8F">
        <w:rPr>
          <w:sz w:val="20"/>
          <w:szCs w:val="20"/>
        </w:rPr>
        <w:t>Serious adverse drug reactions occurred in five Skyclarys-treated patients (</w:t>
      </w:r>
      <w:r w:rsidRPr="00D35B2B">
        <w:rPr>
          <w:sz w:val="20"/>
          <w:szCs w:val="20"/>
        </w:rPr>
        <w:t xml:space="preserve">10%) and three placebo-treated patients (6%). </w:t>
      </w:r>
    </w:p>
    <w:p w14:paraId="75498837" w14:textId="77777777" w:rsidR="00F0620E" w:rsidRDefault="00F0620E" w:rsidP="001E676B">
      <w:pPr>
        <w:pStyle w:val="NoSpacing"/>
        <w:numPr>
          <w:ilvl w:val="1"/>
          <w:numId w:val="13"/>
        </w:numPr>
        <w:ind w:left="720"/>
        <w:rPr>
          <w:sz w:val="20"/>
          <w:szCs w:val="20"/>
        </w:rPr>
      </w:pPr>
      <w:r w:rsidRPr="001C3483">
        <w:rPr>
          <w:sz w:val="20"/>
          <w:szCs w:val="20"/>
        </w:rPr>
        <w:t xml:space="preserve">Discontinuations due to adverse events occurred in 8% of the </w:t>
      </w:r>
      <w:r>
        <w:rPr>
          <w:sz w:val="20"/>
          <w:szCs w:val="20"/>
        </w:rPr>
        <w:t>Skyclarys</w:t>
      </w:r>
      <w:r w:rsidRPr="001C3483">
        <w:rPr>
          <w:sz w:val="20"/>
          <w:szCs w:val="20"/>
        </w:rPr>
        <w:t xml:space="preserve">-treated group and in 4% of the placebo treated group. </w:t>
      </w:r>
    </w:p>
    <w:p w14:paraId="20FBAE94" w14:textId="77777777" w:rsidR="00F0620E" w:rsidRDefault="00F0620E" w:rsidP="001E676B">
      <w:pPr>
        <w:pStyle w:val="NoSpacing"/>
        <w:numPr>
          <w:ilvl w:val="1"/>
          <w:numId w:val="13"/>
        </w:numPr>
        <w:ind w:left="720"/>
        <w:rPr>
          <w:sz w:val="20"/>
          <w:szCs w:val="20"/>
        </w:rPr>
      </w:pPr>
      <w:r>
        <w:rPr>
          <w:sz w:val="20"/>
          <w:szCs w:val="20"/>
        </w:rPr>
        <w:t>Skyclarys</w:t>
      </w:r>
      <w:r w:rsidRPr="001C3483">
        <w:rPr>
          <w:sz w:val="20"/>
          <w:szCs w:val="20"/>
        </w:rPr>
        <w:t>-treated patients also experienced mean decreases in weight relative to baseline and to placebo-treated patients at Week 48; this was seen in adult patients and was more pronounced in overweight patients.</w:t>
      </w:r>
    </w:p>
    <w:p w14:paraId="72651C55" w14:textId="77777777" w:rsidR="00F0620E" w:rsidRDefault="00F0620E" w:rsidP="001E676B">
      <w:pPr>
        <w:pStyle w:val="NoSpacing"/>
        <w:numPr>
          <w:ilvl w:val="1"/>
          <w:numId w:val="13"/>
        </w:numPr>
        <w:ind w:left="720"/>
        <w:rPr>
          <w:sz w:val="20"/>
          <w:szCs w:val="20"/>
        </w:rPr>
      </w:pPr>
      <w:r>
        <w:rPr>
          <w:sz w:val="20"/>
          <w:szCs w:val="20"/>
        </w:rPr>
        <w:t>Skyclarys</w:t>
      </w:r>
      <w:r w:rsidRPr="001C3483">
        <w:rPr>
          <w:sz w:val="20"/>
          <w:szCs w:val="20"/>
        </w:rPr>
        <w:t xml:space="preserve"> did not increase blood pressure and did not demonstrate adverse effects on ventricular heart rate, QT interval corrected by Fridericia's formula (QTcF), wall thickness, or ejection fraction.</w:t>
      </w:r>
    </w:p>
    <w:p w14:paraId="4BD60917" w14:textId="77777777" w:rsidR="00F0620E" w:rsidRPr="008029F8" w:rsidRDefault="00F0620E" w:rsidP="002434FB">
      <w:pPr>
        <w:pStyle w:val="NoSpacing"/>
        <w:contextualSpacing/>
        <w:rPr>
          <w:sz w:val="20"/>
          <w:szCs w:val="20"/>
        </w:rPr>
      </w:pPr>
    </w:p>
    <w:p w14:paraId="6413C0CF" w14:textId="46502D5A" w:rsidR="00AE77DB" w:rsidRDefault="003A43A6" w:rsidP="00BC46EE">
      <w:pPr>
        <w:pStyle w:val="Style2"/>
      </w:pPr>
      <w:r>
        <w:t>Price Per Unit (WAC)</w:t>
      </w:r>
    </w:p>
    <w:p w14:paraId="3CF0EB2C" w14:textId="77777777" w:rsidR="004D163F" w:rsidRPr="004D163F" w:rsidRDefault="004D163F" w:rsidP="001E676B">
      <w:pPr>
        <w:pStyle w:val="ListParagraph"/>
        <w:numPr>
          <w:ilvl w:val="0"/>
          <w:numId w:val="19"/>
        </w:numPr>
      </w:pPr>
      <w:r w:rsidRPr="004D163F">
        <w:t>The cost per 50 mg capsule is $366.99, which equals a daily price of $1,100.97</w:t>
      </w:r>
    </w:p>
    <w:p w14:paraId="5CBBC214" w14:textId="6D3C3188" w:rsidR="004D163F" w:rsidRPr="0089774E" w:rsidRDefault="004D163F" w:rsidP="001E676B">
      <w:pPr>
        <w:pStyle w:val="ListParagraph"/>
        <w:numPr>
          <w:ilvl w:val="0"/>
          <w:numId w:val="19"/>
        </w:numPr>
      </w:pPr>
      <w:r w:rsidRPr="004D163F">
        <w:t>Annual price is $401,854 per year.</w:t>
      </w:r>
    </w:p>
    <w:p w14:paraId="369758BB" w14:textId="3EBDB80C" w:rsidR="003A43A6" w:rsidRPr="00C02553" w:rsidRDefault="003A43A6" w:rsidP="00BC46EE">
      <w:pPr>
        <w:pStyle w:val="Style2"/>
      </w:pPr>
      <w:r>
        <w:t>Therapeutic Alternatives</w:t>
      </w:r>
    </w:p>
    <w:p w14:paraId="572CE3C1" w14:textId="7925B18A" w:rsidR="00065617" w:rsidRPr="00065617" w:rsidRDefault="00065617" w:rsidP="001E676B">
      <w:pPr>
        <w:pStyle w:val="ListParagraph"/>
        <w:numPr>
          <w:ilvl w:val="0"/>
          <w:numId w:val="20"/>
        </w:numPr>
        <w:rPr>
          <w:rFonts w:cs="Arial"/>
          <w:szCs w:val="20"/>
        </w:rPr>
      </w:pPr>
      <w:r w:rsidRPr="00065617">
        <w:rPr>
          <w:rFonts w:cs="Arial"/>
          <w:szCs w:val="20"/>
        </w:rPr>
        <w:t xml:space="preserve">Skyclarys is the first medication that is FDA-approved to treat FA. </w:t>
      </w:r>
    </w:p>
    <w:p w14:paraId="52EFD2DA" w14:textId="7756C768" w:rsidR="00065617" w:rsidRDefault="00065617" w:rsidP="001E676B">
      <w:pPr>
        <w:pStyle w:val="ListParagraph"/>
        <w:numPr>
          <w:ilvl w:val="0"/>
          <w:numId w:val="20"/>
        </w:numPr>
        <w:rPr>
          <w:rFonts w:cs="Arial"/>
          <w:szCs w:val="20"/>
        </w:rPr>
      </w:pPr>
      <w:r w:rsidRPr="00E518FF">
        <w:rPr>
          <w:rFonts w:cs="Arial"/>
          <w:szCs w:val="20"/>
        </w:rPr>
        <w:t>Over the counter products have been investigated to treat FA including vitamin E, coenzyme Q10 and idebenone (a synthetic analogue of coenzyme Q10). Vitamin E protects polyunsaturated fatty acids in membranes from attack by free radicals. Coenzyme Q10 and idebenone reduce free radicals, inhibits lipid peroxidation, and consequently protect the mitochondria from oxidative damage. Results for the International Cooperative Ataxia Rating Scale (ICARS) scores in patients with FA did not reveal any significant difference between the antioxidant</w:t>
      </w:r>
      <w:r w:rsidRPr="00E518FF">
        <w:rPr>
          <w:rFonts w:ascii="Cambria Math" w:hAnsi="Cambria Math" w:cs="Cambria Math"/>
          <w:szCs w:val="20"/>
        </w:rPr>
        <w:t>‐</w:t>
      </w:r>
      <w:r w:rsidRPr="00E518FF">
        <w:rPr>
          <w:rFonts w:cs="Arial"/>
          <w:szCs w:val="20"/>
        </w:rPr>
        <w:t>treated and the placebo groups.</w:t>
      </w:r>
    </w:p>
    <w:p w14:paraId="6C159BEA" w14:textId="77777777" w:rsidR="00472F3D" w:rsidRPr="00417F7D" w:rsidRDefault="00472F3D" w:rsidP="00472F3D">
      <w:pPr>
        <w:pStyle w:val="NoSpacing"/>
        <w:ind w:left="720"/>
        <w:rPr>
          <w:sz w:val="20"/>
          <w:szCs w:val="20"/>
        </w:rPr>
      </w:pPr>
    </w:p>
    <w:p w14:paraId="430FBA6E" w14:textId="77777777" w:rsidR="003A43A6" w:rsidRDefault="003A43A6" w:rsidP="003A43A6">
      <w:pPr>
        <w:rPr>
          <w:rFonts w:cs="Arial"/>
          <w:szCs w:val="20"/>
        </w:rPr>
      </w:pPr>
    </w:p>
    <w:p w14:paraId="7412AFCE" w14:textId="77777777" w:rsidR="00EB7F66" w:rsidRDefault="00EB7F66" w:rsidP="003A43A6">
      <w:pPr>
        <w:rPr>
          <w:rFonts w:cs="Arial"/>
          <w:szCs w:val="20"/>
        </w:rPr>
      </w:pPr>
    </w:p>
    <w:p w14:paraId="77A40D3E" w14:textId="77777777" w:rsidR="00EB7F66" w:rsidRPr="002C2C41" w:rsidRDefault="00EB7F66" w:rsidP="003A43A6">
      <w:pPr>
        <w:rPr>
          <w:rFonts w:cs="Arial"/>
          <w:szCs w:val="20"/>
        </w:rPr>
      </w:pPr>
    </w:p>
    <w:p w14:paraId="644ADB2B" w14:textId="1D0A5759" w:rsidR="003A43A6" w:rsidRDefault="003A43A6" w:rsidP="00BC46EE">
      <w:pPr>
        <w:pStyle w:val="Style2"/>
      </w:pPr>
      <w:r>
        <w:lastRenderedPageBreak/>
        <w:t>Prior Authorization Approval Criteria</w:t>
      </w:r>
    </w:p>
    <w:p w14:paraId="36889A74" w14:textId="0729166C" w:rsidR="00826013" w:rsidRPr="00BE6011" w:rsidRDefault="00826013" w:rsidP="0022031B">
      <w:pPr>
        <w:spacing w:before="60" w:after="60"/>
        <w:rPr>
          <w:b/>
          <w:bCs/>
          <w:u w:val="single"/>
        </w:rPr>
      </w:pPr>
      <w:r w:rsidRPr="00BE6011">
        <w:rPr>
          <w:b/>
          <w:bCs/>
          <w:u w:val="single"/>
        </w:rPr>
        <w:t>Initial therapy:</w:t>
      </w:r>
    </w:p>
    <w:p w14:paraId="3E3EB937" w14:textId="77777777" w:rsidR="00A14592" w:rsidRPr="00D244CD" w:rsidRDefault="00A14592" w:rsidP="001E676B">
      <w:pPr>
        <w:pStyle w:val="NoSpacing"/>
        <w:numPr>
          <w:ilvl w:val="0"/>
          <w:numId w:val="21"/>
        </w:numPr>
        <w:rPr>
          <w:sz w:val="20"/>
          <w:szCs w:val="20"/>
        </w:rPr>
      </w:pPr>
      <w:r>
        <w:rPr>
          <w:sz w:val="20"/>
          <w:szCs w:val="20"/>
        </w:rPr>
        <w:t>Must meet all of the following:</w:t>
      </w:r>
    </w:p>
    <w:p w14:paraId="07544E3F" w14:textId="77777777" w:rsidR="00A14592" w:rsidRPr="0098341F" w:rsidRDefault="00A14592" w:rsidP="001E676B">
      <w:pPr>
        <w:pStyle w:val="NoSpacing"/>
        <w:numPr>
          <w:ilvl w:val="1"/>
          <w:numId w:val="21"/>
        </w:numPr>
        <w:ind w:left="720"/>
        <w:rPr>
          <w:sz w:val="20"/>
          <w:szCs w:val="20"/>
        </w:rPr>
      </w:pPr>
      <w:r>
        <w:rPr>
          <w:sz w:val="20"/>
          <w:szCs w:val="20"/>
        </w:rPr>
        <w:t>Participant is aged 16 years or older;</w:t>
      </w:r>
    </w:p>
    <w:p w14:paraId="484A8381" w14:textId="77777777" w:rsidR="00A14592" w:rsidRPr="0098341F" w:rsidRDefault="00A14592" w:rsidP="001E676B">
      <w:pPr>
        <w:pStyle w:val="NoSpacing"/>
        <w:numPr>
          <w:ilvl w:val="1"/>
          <w:numId w:val="21"/>
        </w:numPr>
        <w:ind w:left="720"/>
        <w:rPr>
          <w:sz w:val="20"/>
          <w:szCs w:val="20"/>
        </w:rPr>
      </w:pPr>
      <w:r>
        <w:rPr>
          <w:sz w:val="20"/>
          <w:szCs w:val="20"/>
        </w:rPr>
        <w:t xml:space="preserve">Participant has a </w:t>
      </w:r>
      <w:r w:rsidRPr="00FC3A8B">
        <w:rPr>
          <w:sz w:val="20"/>
          <w:szCs w:val="20"/>
        </w:rPr>
        <w:t>genetically confirmed</w:t>
      </w:r>
      <w:r>
        <w:rPr>
          <w:sz w:val="20"/>
          <w:szCs w:val="20"/>
        </w:rPr>
        <w:t xml:space="preserve"> diagnosis of FA (</w:t>
      </w:r>
      <w:r w:rsidRPr="00FC3A8B">
        <w:rPr>
          <w:sz w:val="20"/>
          <w:szCs w:val="20"/>
        </w:rPr>
        <w:t xml:space="preserve">loss-of-function mutations in the </w:t>
      </w:r>
      <w:r w:rsidRPr="00D244CD">
        <w:rPr>
          <w:i/>
          <w:iCs/>
          <w:sz w:val="20"/>
          <w:szCs w:val="20"/>
        </w:rPr>
        <w:t>FXN</w:t>
      </w:r>
      <w:r w:rsidRPr="00FC3A8B">
        <w:rPr>
          <w:sz w:val="20"/>
          <w:szCs w:val="20"/>
        </w:rPr>
        <w:t xml:space="preserve"> gene located on chromosome 9q13</w:t>
      </w:r>
      <w:r>
        <w:rPr>
          <w:sz w:val="20"/>
          <w:szCs w:val="20"/>
        </w:rPr>
        <w:t xml:space="preserve">, with </w:t>
      </w:r>
      <w:r w:rsidRPr="00FC3A8B">
        <w:rPr>
          <w:sz w:val="20"/>
          <w:szCs w:val="20"/>
        </w:rPr>
        <w:t>6</w:t>
      </w:r>
      <w:r>
        <w:rPr>
          <w:sz w:val="20"/>
          <w:szCs w:val="20"/>
        </w:rPr>
        <w:t>6</w:t>
      </w:r>
      <w:r w:rsidRPr="00FC3A8B">
        <w:rPr>
          <w:sz w:val="20"/>
          <w:szCs w:val="20"/>
        </w:rPr>
        <w:t xml:space="preserve"> to 1700</w:t>
      </w:r>
      <w:r>
        <w:rPr>
          <w:sz w:val="20"/>
          <w:szCs w:val="20"/>
        </w:rPr>
        <w:t xml:space="preserve"> </w:t>
      </w:r>
      <w:r w:rsidRPr="00FC3A8B">
        <w:rPr>
          <w:sz w:val="20"/>
          <w:szCs w:val="20"/>
        </w:rPr>
        <w:t>GAA repeats</w:t>
      </w:r>
      <w:r>
        <w:rPr>
          <w:sz w:val="20"/>
          <w:szCs w:val="20"/>
        </w:rPr>
        <w:t>, ICD-10 code of G11.11);</w:t>
      </w:r>
    </w:p>
    <w:p w14:paraId="6DA3C3AD" w14:textId="77777777" w:rsidR="00A14592" w:rsidRPr="005A6523" w:rsidRDefault="00A14592" w:rsidP="001E676B">
      <w:pPr>
        <w:pStyle w:val="NoSpacing"/>
        <w:numPr>
          <w:ilvl w:val="0"/>
          <w:numId w:val="21"/>
        </w:numPr>
        <w:rPr>
          <w:sz w:val="20"/>
          <w:szCs w:val="20"/>
        </w:rPr>
      </w:pPr>
      <w:r>
        <w:rPr>
          <w:sz w:val="20"/>
          <w:szCs w:val="20"/>
        </w:rPr>
        <w:t xml:space="preserve">Prescribed by or in consultation with a neurologist or other specialist in the treated disease state; </w:t>
      </w:r>
      <w:r w:rsidRPr="005A6523">
        <w:rPr>
          <w:b/>
          <w:bCs/>
          <w:sz w:val="20"/>
          <w:szCs w:val="20"/>
        </w:rPr>
        <w:t>AND</w:t>
      </w:r>
    </w:p>
    <w:p w14:paraId="3E96BF8E" w14:textId="77777777" w:rsidR="00A14592" w:rsidRPr="0078573F" w:rsidRDefault="00A14592" w:rsidP="001E676B">
      <w:pPr>
        <w:pStyle w:val="NoSpacing"/>
        <w:numPr>
          <w:ilvl w:val="0"/>
          <w:numId w:val="21"/>
        </w:numPr>
        <w:rPr>
          <w:sz w:val="20"/>
          <w:szCs w:val="20"/>
        </w:rPr>
      </w:pPr>
      <w:r w:rsidRPr="005A6523">
        <w:rPr>
          <w:sz w:val="20"/>
          <w:szCs w:val="20"/>
        </w:rPr>
        <w:t>Baseline B-Type Natriuretic Peptide (BNP);</w:t>
      </w:r>
      <w:r>
        <w:rPr>
          <w:sz w:val="20"/>
          <w:szCs w:val="20"/>
        </w:rPr>
        <w:t xml:space="preserve"> </w:t>
      </w:r>
      <w:r w:rsidRPr="007719F9">
        <w:rPr>
          <w:b/>
          <w:bCs/>
          <w:sz w:val="20"/>
          <w:szCs w:val="20"/>
        </w:rPr>
        <w:t>AND</w:t>
      </w:r>
    </w:p>
    <w:p w14:paraId="383F803B" w14:textId="77777777" w:rsidR="00A14592" w:rsidRPr="0078573F" w:rsidRDefault="00A14592" w:rsidP="001E676B">
      <w:pPr>
        <w:pStyle w:val="NoSpacing"/>
        <w:numPr>
          <w:ilvl w:val="0"/>
          <w:numId w:val="21"/>
        </w:numPr>
        <w:rPr>
          <w:sz w:val="20"/>
          <w:szCs w:val="20"/>
        </w:rPr>
      </w:pPr>
      <w:r w:rsidRPr="0078573F">
        <w:rPr>
          <w:sz w:val="20"/>
          <w:szCs w:val="20"/>
        </w:rPr>
        <w:t>One of the following:</w:t>
      </w:r>
    </w:p>
    <w:p w14:paraId="77272282" w14:textId="77777777" w:rsidR="00A14592" w:rsidRPr="005A6523" w:rsidRDefault="00A14592" w:rsidP="001E676B">
      <w:pPr>
        <w:pStyle w:val="NoSpacing"/>
        <w:numPr>
          <w:ilvl w:val="1"/>
          <w:numId w:val="21"/>
        </w:numPr>
        <w:ind w:left="720"/>
        <w:rPr>
          <w:sz w:val="20"/>
          <w:szCs w:val="20"/>
        </w:rPr>
      </w:pPr>
      <w:r>
        <w:rPr>
          <w:sz w:val="20"/>
          <w:szCs w:val="20"/>
        </w:rPr>
        <w:t>Documentation of baseline clinical symptoms specific to FA, including:</w:t>
      </w:r>
    </w:p>
    <w:p w14:paraId="3363D594" w14:textId="77777777" w:rsidR="00A14592" w:rsidRPr="005A6523" w:rsidRDefault="00A14592" w:rsidP="001E676B">
      <w:pPr>
        <w:pStyle w:val="NoSpacing"/>
        <w:numPr>
          <w:ilvl w:val="2"/>
          <w:numId w:val="21"/>
        </w:numPr>
        <w:ind w:left="1080"/>
        <w:rPr>
          <w:sz w:val="20"/>
          <w:szCs w:val="20"/>
        </w:rPr>
      </w:pPr>
      <w:r w:rsidRPr="005A6523">
        <w:rPr>
          <w:sz w:val="20"/>
          <w:szCs w:val="20"/>
        </w:rPr>
        <w:t>Loss of coordination/fine motor control of limbs, unsteady gait, difficulty walking, muscle stiffness/spasticity</w:t>
      </w:r>
      <w:r>
        <w:rPr>
          <w:sz w:val="20"/>
          <w:szCs w:val="20"/>
        </w:rPr>
        <w:t>;</w:t>
      </w:r>
    </w:p>
    <w:p w14:paraId="18056E74" w14:textId="77777777" w:rsidR="00A14592" w:rsidRPr="005A6523" w:rsidRDefault="00A14592" w:rsidP="001E676B">
      <w:pPr>
        <w:pStyle w:val="NoSpacing"/>
        <w:numPr>
          <w:ilvl w:val="2"/>
          <w:numId w:val="21"/>
        </w:numPr>
        <w:ind w:left="1080"/>
        <w:rPr>
          <w:sz w:val="20"/>
          <w:szCs w:val="20"/>
        </w:rPr>
      </w:pPr>
      <w:r w:rsidRPr="005A6523">
        <w:rPr>
          <w:sz w:val="20"/>
          <w:szCs w:val="20"/>
        </w:rPr>
        <w:t>Loss of sensation and normal reflexes</w:t>
      </w:r>
      <w:r>
        <w:rPr>
          <w:sz w:val="20"/>
          <w:szCs w:val="20"/>
        </w:rPr>
        <w:t>;</w:t>
      </w:r>
    </w:p>
    <w:p w14:paraId="236B09E5" w14:textId="77777777" w:rsidR="00A14592" w:rsidRPr="005A6523" w:rsidRDefault="00A14592" w:rsidP="001E676B">
      <w:pPr>
        <w:pStyle w:val="NoSpacing"/>
        <w:numPr>
          <w:ilvl w:val="2"/>
          <w:numId w:val="21"/>
        </w:numPr>
        <w:ind w:left="1080"/>
        <w:rPr>
          <w:sz w:val="20"/>
          <w:szCs w:val="20"/>
        </w:rPr>
      </w:pPr>
      <w:r w:rsidRPr="005A6523">
        <w:rPr>
          <w:sz w:val="20"/>
          <w:szCs w:val="20"/>
        </w:rPr>
        <w:t>Slurred or impaired speech, swallowing difficulties, visual and hearing impairment</w:t>
      </w:r>
      <w:r>
        <w:rPr>
          <w:sz w:val="20"/>
          <w:szCs w:val="20"/>
        </w:rPr>
        <w:t>;</w:t>
      </w:r>
    </w:p>
    <w:p w14:paraId="5C67610B" w14:textId="77777777" w:rsidR="00A14592" w:rsidRPr="005A6523" w:rsidRDefault="00A14592" w:rsidP="001E676B">
      <w:pPr>
        <w:pStyle w:val="NoSpacing"/>
        <w:numPr>
          <w:ilvl w:val="2"/>
          <w:numId w:val="21"/>
        </w:numPr>
        <w:ind w:left="1080"/>
        <w:rPr>
          <w:sz w:val="20"/>
          <w:szCs w:val="20"/>
        </w:rPr>
      </w:pPr>
      <w:r w:rsidRPr="005A6523">
        <w:rPr>
          <w:sz w:val="20"/>
          <w:szCs w:val="20"/>
        </w:rPr>
        <w:t>Curvature of the spine (scoliosis)</w:t>
      </w:r>
      <w:r>
        <w:rPr>
          <w:sz w:val="20"/>
          <w:szCs w:val="20"/>
        </w:rPr>
        <w:t>;</w:t>
      </w:r>
    </w:p>
    <w:p w14:paraId="449DD544" w14:textId="77777777" w:rsidR="006F326E" w:rsidRDefault="00A14592" w:rsidP="001E676B">
      <w:pPr>
        <w:pStyle w:val="NoSpacing"/>
        <w:numPr>
          <w:ilvl w:val="2"/>
          <w:numId w:val="21"/>
        </w:numPr>
        <w:ind w:left="1080"/>
        <w:rPr>
          <w:sz w:val="20"/>
          <w:szCs w:val="20"/>
        </w:rPr>
      </w:pPr>
      <w:r w:rsidRPr="005A6523">
        <w:rPr>
          <w:sz w:val="20"/>
          <w:szCs w:val="20"/>
        </w:rPr>
        <w:t>Foot deformities (pes cavus</w:t>
      </w:r>
      <w:r>
        <w:rPr>
          <w:sz w:val="20"/>
          <w:szCs w:val="20"/>
        </w:rPr>
        <w:t xml:space="preserve">); </w:t>
      </w:r>
      <w:r w:rsidRPr="0078573F">
        <w:rPr>
          <w:b/>
          <w:bCs/>
          <w:sz w:val="20"/>
          <w:szCs w:val="20"/>
        </w:rPr>
        <w:t>OR</w:t>
      </w:r>
    </w:p>
    <w:p w14:paraId="1EFCDD69" w14:textId="4B1A222C" w:rsidR="00826013" w:rsidRDefault="00A14592" w:rsidP="001E676B">
      <w:pPr>
        <w:pStyle w:val="NoSpacing"/>
        <w:numPr>
          <w:ilvl w:val="2"/>
          <w:numId w:val="21"/>
        </w:numPr>
        <w:ind w:left="1080"/>
        <w:rPr>
          <w:sz w:val="20"/>
          <w:szCs w:val="20"/>
        </w:rPr>
      </w:pPr>
      <w:r w:rsidRPr="006F326E">
        <w:rPr>
          <w:sz w:val="20"/>
          <w:szCs w:val="20"/>
        </w:rPr>
        <w:t>Baseline mFARS score.</w:t>
      </w:r>
    </w:p>
    <w:p w14:paraId="2D497AC4" w14:textId="77777777" w:rsidR="006F326E" w:rsidRPr="006F326E" w:rsidRDefault="006F326E" w:rsidP="006F326E">
      <w:pPr>
        <w:pStyle w:val="NoSpacing"/>
        <w:ind w:left="1800"/>
        <w:rPr>
          <w:sz w:val="20"/>
          <w:szCs w:val="20"/>
        </w:rPr>
      </w:pPr>
    </w:p>
    <w:p w14:paraId="1412B886" w14:textId="0EA50331" w:rsidR="00826013" w:rsidRPr="00BE6011" w:rsidRDefault="00826013" w:rsidP="0022031B">
      <w:pPr>
        <w:spacing w:before="60" w:after="60"/>
        <w:rPr>
          <w:b/>
          <w:bCs/>
          <w:u w:val="single"/>
        </w:rPr>
      </w:pPr>
      <w:r w:rsidRPr="00BE6011">
        <w:rPr>
          <w:b/>
          <w:bCs/>
          <w:u w:val="single"/>
        </w:rPr>
        <w:t>Continuation of Therapy:</w:t>
      </w:r>
    </w:p>
    <w:p w14:paraId="6B5BE3A9" w14:textId="77777777" w:rsidR="00B11843" w:rsidRDefault="00B11843" w:rsidP="001E676B">
      <w:pPr>
        <w:pStyle w:val="NoSpacing"/>
        <w:numPr>
          <w:ilvl w:val="0"/>
          <w:numId w:val="29"/>
        </w:numPr>
        <w:rPr>
          <w:sz w:val="20"/>
          <w:szCs w:val="20"/>
        </w:rPr>
      </w:pPr>
      <w:r w:rsidRPr="005A6523">
        <w:rPr>
          <w:sz w:val="20"/>
          <w:szCs w:val="20"/>
        </w:rPr>
        <w:t xml:space="preserve">Renewal requests must provide documentation of clinical benefit by improvement, stabilization, or less than expected decline in disease progression of motor function </w:t>
      </w:r>
      <w:r>
        <w:rPr>
          <w:sz w:val="20"/>
          <w:szCs w:val="20"/>
        </w:rPr>
        <w:t xml:space="preserve">or speech </w:t>
      </w:r>
      <w:r w:rsidRPr="005A6523">
        <w:rPr>
          <w:sz w:val="20"/>
          <w:szCs w:val="20"/>
        </w:rPr>
        <w:t>from baseline measures that were initially utilized</w:t>
      </w:r>
      <w:r>
        <w:rPr>
          <w:sz w:val="20"/>
          <w:szCs w:val="20"/>
        </w:rPr>
        <w:t>.</w:t>
      </w:r>
    </w:p>
    <w:p w14:paraId="1040DE10" w14:textId="77777777" w:rsidR="006F326E" w:rsidRPr="006F326E" w:rsidRDefault="006F326E" w:rsidP="006F326E">
      <w:pPr>
        <w:pStyle w:val="NoSpacing"/>
        <w:ind w:left="1080"/>
        <w:rPr>
          <w:sz w:val="20"/>
          <w:szCs w:val="20"/>
        </w:rPr>
      </w:pPr>
    </w:p>
    <w:p w14:paraId="0ACA88B9" w14:textId="1204C5BA" w:rsidR="00826013" w:rsidRPr="00BE6011" w:rsidRDefault="00826013" w:rsidP="0022031B">
      <w:pPr>
        <w:spacing w:before="60" w:after="60"/>
        <w:rPr>
          <w:b/>
          <w:bCs/>
          <w:u w:val="single"/>
        </w:rPr>
      </w:pPr>
      <w:r w:rsidRPr="00BE6011">
        <w:rPr>
          <w:b/>
          <w:bCs/>
          <w:u w:val="single"/>
        </w:rPr>
        <w:t>Denial Criteria:</w:t>
      </w:r>
    </w:p>
    <w:p w14:paraId="18E73CEE" w14:textId="77777777" w:rsidR="002C4E97" w:rsidRPr="00F33E49" w:rsidRDefault="002C4E97" w:rsidP="001E676B">
      <w:pPr>
        <w:pStyle w:val="NoSpacing"/>
        <w:numPr>
          <w:ilvl w:val="0"/>
          <w:numId w:val="9"/>
        </w:numPr>
        <w:rPr>
          <w:sz w:val="20"/>
          <w:szCs w:val="20"/>
        </w:rPr>
      </w:pPr>
      <w:r w:rsidRPr="0098341F">
        <w:rPr>
          <w:sz w:val="20"/>
          <w:szCs w:val="20"/>
        </w:rPr>
        <w:t xml:space="preserve">Therapy will be denied </w:t>
      </w:r>
      <w:r>
        <w:rPr>
          <w:sz w:val="20"/>
          <w:szCs w:val="20"/>
        </w:rPr>
        <w:t>with presence of one of the following:</w:t>
      </w:r>
    </w:p>
    <w:p w14:paraId="7A192EF4" w14:textId="77777777" w:rsidR="002C4E97" w:rsidRDefault="002C4E97" w:rsidP="001E676B">
      <w:pPr>
        <w:pStyle w:val="NoSpacing"/>
        <w:numPr>
          <w:ilvl w:val="1"/>
          <w:numId w:val="9"/>
        </w:numPr>
        <w:ind w:left="720"/>
        <w:rPr>
          <w:sz w:val="20"/>
          <w:szCs w:val="20"/>
        </w:rPr>
      </w:pPr>
      <w:r>
        <w:rPr>
          <w:sz w:val="20"/>
          <w:szCs w:val="20"/>
        </w:rPr>
        <w:t>Participant is currently pregnant;</w:t>
      </w:r>
    </w:p>
    <w:p w14:paraId="332B4532" w14:textId="77777777" w:rsidR="002C4E97" w:rsidRDefault="002C4E97" w:rsidP="001E676B">
      <w:pPr>
        <w:pStyle w:val="NoSpacing"/>
        <w:numPr>
          <w:ilvl w:val="1"/>
          <w:numId w:val="9"/>
        </w:numPr>
        <w:ind w:left="720"/>
        <w:rPr>
          <w:sz w:val="20"/>
          <w:szCs w:val="20"/>
        </w:rPr>
      </w:pPr>
      <w:r>
        <w:rPr>
          <w:sz w:val="20"/>
          <w:szCs w:val="20"/>
        </w:rPr>
        <w:t>Baseline BMP &gt; 200 pg/mL;</w:t>
      </w:r>
    </w:p>
    <w:p w14:paraId="1E0A6110" w14:textId="77777777" w:rsidR="002C4E97" w:rsidRDefault="002C4E97" w:rsidP="001E676B">
      <w:pPr>
        <w:pStyle w:val="NoSpacing"/>
        <w:numPr>
          <w:ilvl w:val="1"/>
          <w:numId w:val="9"/>
        </w:numPr>
        <w:ind w:left="720"/>
        <w:rPr>
          <w:sz w:val="20"/>
          <w:szCs w:val="20"/>
        </w:rPr>
      </w:pPr>
      <w:r>
        <w:rPr>
          <w:sz w:val="20"/>
          <w:szCs w:val="20"/>
        </w:rPr>
        <w:t xml:space="preserve">Participant demonstrates a history of </w:t>
      </w:r>
      <w:r w:rsidRPr="005A6523">
        <w:rPr>
          <w:sz w:val="20"/>
          <w:szCs w:val="20"/>
        </w:rPr>
        <w:t>clinically significant left-sided heart disease or clinically significant cardiac disease</w:t>
      </w:r>
      <w:r>
        <w:rPr>
          <w:sz w:val="20"/>
          <w:szCs w:val="20"/>
        </w:rPr>
        <w:t>.</w:t>
      </w:r>
    </w:p>
    <w:p w14:paraId="4F7DDD69" w14:textId="77777777" w:rsidR="00B11843" w:rsidRDefault="00B11843" w:rsidP="00B11843">
      <w:pPr>
        <w:pStyle w:val="NoSpacing"/>
        <w:ind w:left="720"/>
        <w:rPr>
          <w:sz w:val="20"/>
          <w:szCs w:val="20"/>
        </w:rPr>
      </w:pPr>
    </w:p>
    <w:p w14:paraId="36D605E8" w14:textId="77777777" w:rsidR="00D8567C" w:rsidRPr="00417F7D" w:rsidRDefault="00D8567C" w:rsidP="00D8567C">
      <w:pPr>
        <w:pStyle w:val="NoSpacing"/>
        <w:rPr>
          <w:sz w:val="20"/>
          <w:szCs w:val="20"/>
          <w:u w:val="single"/>
        </w:rPr>
      </w:pPr>
      <w:r w:rsidRPr="00417F7D">
        <w:rPr>
          <w:sz w:val="20"/>
          <w:szCs w:val="20"/>
          <w:u w:val="single"/>
        </w:rPr>
        <w:t>Default Approval Period:</w:t>
      </w:r>
    </w:p>
    <w:p w14:paraId="4BAD7736" w14:textId="77777777" w:rsidR="00D8567C" w:rsidRPr="00417F7D" w:rsidRDefault="00EB2B23" w:rsidP="001E676B">
      <w:pPr>
        <w:pStyle w:val="NoSpacing"/>
        <w:numPr>
          <w:ilvl w:val="0"/>
          <w:numId w:val="9"/>
        </w:numPr>
        <w:rPr>
          <w:sz w:val="20"/>
          <w:szCs w:val="20"/>
        </w:rPr>
      </w:pPr>
      <w:sdt>
        <w:sdtPr>
          <w:rPr>
            <w:sz w:val="20"/>
            <w:szCs w:val="20"/>
          </w:rPr>
          <w:id w:val="877584665"/>
          <w:placeholder>
            <w:docPart w:val="1C6CBB4DF695470FB741B917148D438D"/>
          </w:placeholder>
        </w:sdtPr>
        <w:sdtEndPr/>
        <w:sdtContent>
          <w:r w:rsidR="00D8567C">
            <w:rPr>
              <w:sz w:val="20"/>
              <w:szCs w:val="20"/>
            </w:rPr>
            <w:t>1 year</w:t>
          </w:r>
        </w:sdtContent>
      </w:sdt>
    </w:p>
    <w:p w14:paraId="4F1013D7" w14:textId="77777777" w:rsidR="00D8567C" w:rsidRDefault="00D8567C" w:rsidP="00D8567C">
      <w:pPr>
        <w:pStyle w:val="NoSpacing"/>
        <w:rPr>
          <w:sz w:val="20"/>
          <w:szCs w:val="20"/>
        </w:rPr>
      </w:pPr>
    </w:p>
    <w:p w14:paraId="0605A62F" w14:textId="77777777" w:rsidR="009F315B" w:rsidRPr="00417F7D" w:rsidRDefault="009F315B" w:rsidP="009F315B">
      <w:pPr>
        <w:pStyle w:val="NoSpacing"/>
        <w:rPr>
          <w:b/>
          <w:bCs/>
          <w:sz w:val="20"/>
          <w:szCs w:val="20"/>
        </w:rPr>
      </w:pPr>
      <w:bookmarkStart w:id="1" w:name="_Hlk8978673"/>
      <w:r w:rsidRPr="00417F7D">
        <w:rPr>
          <w:b/>
          <w:bCs/>
          <w:sz w:val="20"/>
          <w:szCs w:val="20"/>
        </w:rPr>
        <w:t xml:space="preserve">Additional Provider Diagnostic/Monitoring Criteria, if desired: </w:t>
      </w:r>
    </w:p>
    <w:bookmarkEnd w:id="1"/>
    <w:p w14:paraId="21C50D74" w14:textId="77777777" w:rsidR="009F315B" w:rsidRPr="00E85A59" w:rsidRDefault="009F315B" w:rsidP="001E676B">
      <w:pPr>
        <w:pStyle w:val="NoSpacing"/>
        <w:numPr>
          <w:ilvl w:val="0"/>
          <w:numId w:val="9"/>
        </w:numPr>
        <w:rPr>
          <w:sz w:val="20"/>
          <w:szCs w:val="20"/>
        </w:rPr>
      </w:pPr>
      <w:r w:rsidRPr="00E85A59">
        <w:rPr>
          <w:sz w:val="20"/>
          <w:szCs w:val="20"/>
        </w:rPr>
        <w:t>Liver function tests should be performed prior to initiating Skyclarys, every month for the first 3 months of treatment, and periodically thereafter as needed.</w:t>
      </w:r>
    </w:p>
    <w:p w14:paraId="1FA1CD58" w14:textId="77777777" w:rsidR="009F315B" w:rsidRPr="00E85A59" w:rsidRDefault="009F315B" w:rsidP="001E676B">
      <w:pPr>
        <w:pStyle w:val="NoSpacing"/>
        <w:numPr>
          <w:ilvl w:val="0"/>
          <w:numId w:val="9"/>
        </w:numPr>
        <w:rPr>
          <w:sz w:val="20"/>
          <w:szCs w:val="20"/>
        </w:rPr>
      </w:pPr>
      <w:r w:rsidRPr="00E85A59">
        <w:rPr>
          <w:sz w:val="20"/>
          <w:szCs w:val="20"/>
        </w:rPr>
        <w:t>BNP should be performed prior to initiating Skyclarys and if signs and symptoms of fluid overload occur, such as sudden weight gain, peripheral edema, palpitations, and shortness of breath. Advise patients to contact their healthcare provider if signs and symptoms of fluid overload develop.</w:t>
      </w:r>
    </w:p>
    <w:p w14:paraId="1D4F7745" w14:textId="77777777" w:rsidR="009F315B" w:rsidRPr="00E85A59" w:rsidRDefault="009F315B" w:rsidP="001E676B">
      <w:pPr>
        <w:pStyle w:val="NoSpacing"/>
        <w:numPr>
          <w:ilvl w:val="0"/>
          <w:numId w:val="9"/>
        </w:numPr>
        <w:rPr>
          <w:sz w:val="20"/>
          <w:szCs w:val="20"/>
        </w:rPr>
      </w:pPr>
      <w:r w:rsidRPr="00E85A59">
        <w:rPr>
          <w:sz w:val="20"/>
          <w:szCs w:val="20"/>
        </w:rPr>
        <w:t>Cholesterol should be assessed prior to starting Skyclarys and monitored periodically during treatment because it has been associated with increases in LDL cholesterol and decreases in HDL cholesterol.</w:t>
      </w:r>
    </w:p>
    <w:p w14:paraId="0C9F64CA" w14:textId="77777777" w:rsidR="009F315B" w:rsidRPr="00E85A59" w:rsidRDefault="009F315B" w:rsidP="001E676B">
      <w:pPr>
        <w:pStyle w:val="NoSpacing"/>
        <w:numPr>
          <w:ilvl w:val="0"/>
          <w:numId w:val="9"/>
        </w:numPr>
        <w:rPr>
          <w:sz w:val="20"/>
          <w:szCs w:val="20"/>
        </w:rPr>
      </w:pPr>
      <w:r w:rsidRPr="00E85A59">
        <w:rPr>
          <w:sz w:val="20"/>
          <w:szCs w:val="20"/>
        </w:rPr>
        <w:t xml:space="preserve">Assess for potential drug-drug interactions with Skyclarys including other prescription medications, non-prescription medications, or herbal products. </w:t>
      </w:r>
    </w:p>
    <w:p w14:paraId="59EA613D" w14:textId="77777777" w:rsidR="009F315B" w:rsidRPr="00E85A59" w:rsidRDefault="009F315B" w:rsidP="001E676B">
      <w:pPr>
        <w:pStyle w:val="NoSpacing"/>
        <w:numPr>
          <w:ilvl w:val="0"/>
          <w:numId w:val="9"/>
        </w:numPr>
        <w:rPr>
          <w:sz w:val="20"/>
          <w:szCs w:val="20"/>
        </w:rPr>
      </w:pPr>
      <w:r w:rsidRPr="00E85A59">
        <w:rPr>
          <w:sz w:val="20"/>
          <w:szCs w:val="20"/>
        </w:rPr>
        <w:t>Advise women to notify their healthcare provider if they become pregnant or intend to become pregnant during Skyclarys therapy</w:t>
      </w:r>
      <w:r>
        <w:rPr>
          <w:sz w:val="20"/>
          <w:szCs w:val="20"/>
        </w:rPr>
        <w:t>.</w:t>
      </w:r>
    </w:p>
    <w:p w14:paraId="0FA1426C" w14:textId="77777777" w:rsidR="009F315B" w:rsidRPr="00E518FF" w:rsidRDefault="009F315B" w:rsidP="001E676B">
      <w:pPr>
        <w:pStyle w:val="NoSpacing"/>
        <w:numPr>
          <w:ilvl w:val="0"/>
          <w:numId w:val="9"/>
        </w:numPr>
        <w:rPr>
          <w:b/>
          <w:sz w:val="20"/>
          <w:szCs w:val="20"/>
        </w:rPr>
      </w:pPr>
      <w:r w:rsidRPr="00E85A59">
        <w:rPr>
          <w:sz w:val="20"/>
          <w:szCs w:val="20"/>
        </w:rPr>
        <w:t>Counsel females using hormonal contraceptives to use an alternative contraceptive method (e.g., non-hormonal intrauterine system) or additional non-hormonal contraceptive (e.g., condoms) during concomitant use and for 28 days after discontinuation of Skyclarys.</w:t>
      </w:r>
    </w:p>
    <w:p w14:paraId="14CC8B38" w14:textId="77777777" w:rsidR="009F315B" w:rsidRDefault="009F315B" w:rsidP="00D8567C">
      <w:pPr>
        <w:pStyle w:val="NoSpacing"/>
        <w:rPr>
          <w:sz w:val="20"/>
          <w:szCs w:val="20"/>
        </w:rPr>
      </w:pPr>
    </w:p>
    <w:p w14:paraId="7A21F8D0" w14:textId="77777777" w:rsidR="00487D94" w:rsidRPr="00A80723" w:rsidRDefault="00487D94" w:rsidP="00D8567C">
      <w:pPr>
        <w:pStyle w:val="NoSpacing"/>
        <w:rPr>
          <w:sz w:val="20"/>
          <w:szCs w:val="20"/>
        </w:rPr>
      </w:pPr>
    </w:p>
    <w:p w14:paraId="30C5A5C8" w14:textId="64BDB97E" w:rsidR="003A43A6" w:rsidRDefault="003A43A6" w:rsidP="00BC46EE">
      <w:pPr>
        <w:pStyle w:val="Style2"/>
      </w:pPr>
      <w:r>
        <w:lastRenderedPageBreak/>
        <w:t>Implication to State Medicaid Program</w:t>
      </w:r>
    </w:p>
    <w:p w14:paraId="52FF6C25" w14:textId="193DDE87" w:rsidR="00315B38" w:rsidRPr="004A341A" w:rsidRDefault="00315B38" w:rsidP="00315B38">
      <w:pPr>
        <w:rPr>
          <w:b/>
          <w:bCs/>
        </w:rPr>
      </w:pPr>
      <w:r w:rsidRPr="004A341A">
        <w:rPr>
          <w:b/>
          <w:bCs/>
        </w:rPr>
        <w:t xml:space="preserve">LOE: </w:t>
      </w:r>
      <w:r w:rsidR="00B008F8" w:rsidRPr="00AC1883">
        <w:rPr>
          <w:rFonts w:eastAsia="Arial"/>
          <w:bCs/>
          <w:szCs w:val="20"/>
        </w:rPr>
        <w:t>2/28/2037</w:t>
      </w:r>
    </w:p>
    <w:p w14:paraId="2BE49751" w14:textId="77777777" w:rsidR="00315B38" w:rsidRDefault="00315B38" w:rsidP="00315B38"/>
    <w:p w14:paraId="74AFA8C7" w14:textId="77777777" w:rsidR="00963EA1" w:rsidRDefault="00963EA1" w:rsidP="001E676B">
      <w:pPr>
        <w:pStyle w:val="NoSpacing"/>
        <w:numPr>
          <w:ilvl w:val="0"/>
          <w:numId w:val="22"/>
        </w:numPr>
        <w:contextualSpacing/>
        <w:rPr>
          <w:bCs/>
          <w:sz w:val="20"/>
          <w:szCs w:val="20"/>
        </w:rPr>
      </w:pPr>
      <w:r w:rsidRPr="008E1FA7">
        <w:rPr>
          <w:bCs/>
          <w:sz w:val="20"/>
          <w:szCs w:val="20"/>
        </w:rPr>
        <w:t xml:space="preserve">Other </w:t>
      </w:r>
      <w:r w:rsidRPr="008E5ED6">
        <w:rPr>
          <w:bCs/>
          <w:sz w:val="20"/>
          <w:szCs w:val="20"/>
        </w:rPr>
        <w:t>Indications for Skyclarys being explored in clinical trials</w:t>
      </w:r>
    </w:p>
    <w:p w14:paraId="11EACA9D" w14:textId="77777777" w:rsidR="00963EA1" w:rsidRPr="008E1FA7" w:rsidRDefault="00963EA1" w:rsidP="001E676B">
      <w:pPr>
        <w:pStyle w:val="NoSpacing"/>
        <w:numPr>
          <w:ilvl w:val="1"/>
          <w:numId w:val="22"/>
        </w:numPr>
        <w:ind w:left="720"/>
        <w:rPr>
          <w:bCs/>
          <w:sz w:val="20"/>
          <w:szCs w:val="20"/>
        </w:rPr>
      </w:pPr>
      <w:r w:rsidRPr="008E1FA7">
        <w:rPr>
          <w:bCs/>
          <w:sz w:val="20"/>
          <w:szCs w:val="20"/>
        </w:rPr>
        <w:t>Mitochondrial Myopathy</w:t>
      </w:r>
      <w:r>
        <w:rPr>
          <w:bCs/>
          <w:sz w:val="20"/>
          <w:szCs w:val="20"/>
        </w:rPr>
        <w:t xml:space="preserve"> (MOTOR, NCT02255422)</w:t>
      </w:r>
    </w:p>
    <w:p w14:paraId="776BA74C" w14:textId="77777777" w:rsidR="00963EA1" w:rsidRPr="008E1FA7" w:rsidRDefault="00963EA1" w:rsidP="001E676B">
      <w:pPr>
        <w:pStyle w:val="NoSpacing"/>
        <w:numPr>
          <w:ilvl w:val="1"/>
          <w:numId w:val="22"/>
        </w:numPr>
        <w:ind w:left="720"/>
        <w:rPr>
          <w:bCs/>
          <w:sz w:val="20"/>
          <w:szCs w:val="20"/>
        </w:rPr>
      </w:pPr>
      <w:r w:rsidRPr="008E1FA7">
        <w:rPr>
          <w:bCs/>
          <w:sz w:val="20"/>
          <w:szCs w:val="20"/>
        </w:rPr>
        <w:t>Melanoma</w:t>
      </w:r>
      <w:r>
        <w:rPr>
          <w:bCs/>
          <w:sz w:val="20"/>
          <w:szCs w:val="20"/>
        </w:rPr>
        <w:t xml:space="preserve"> (REVEAL, NCT02259231 with expanded access in NCT03593499)</w:t>
      </w:r>
    </w:p>
    <w:p w14:paraId="77FE0CA3" w14:textId="77777777" w:rsidR="00963EA1" w:rsidRPr="008E1FA7" w:rsidRDefault="00963EA1" w:rsidP="001E676B">
      <w:pPr>
        <w:pStyle w:val="NoSpacing"/>
        <w:numPr>
          <w:ilvl w:val="1"/>
          <w:numId w:val="22"/>
        </w:numPr>
        <w:ind w:left="720"/>
        <w:rPr>
          <w:bCs/>
          <w:sz w:val="20"/>
          <w:szCs w:val="20"/>
        </w:rPr>
      </w:pPr>
      <w:r w:rsidRPr="008E1FA7">
        <w:rPr>
          <w:bCs/>
          <w:sz w:val="20"/>
          <w:szCs w:val="20"/>
        </w:rPr>
        <w:t xml:space="preserve">Lotion for radiation dermatitis </w:t>
      </w:r>
      <w:r>
        <w:rPr>
          <w:bCs/>
          <w:sz w:val="20"/>
          <w:szCs w:val="20"/>
        </w:rPr>
        <w:t>(PRIMROSE, NCT02142959)</w:t>
      </w:r>
    </w:p>
    <w:p w14:paraId="6837B722" w14:textId="77777777" w:rsidR="00963EA1" w:rsidRPr="008E1FA7" w:rsidRDefault="00963EA1" w:rsidP="001E676B">
      <w:pPr>
        <w:pStyle w:val="NoSpacing"/>
        <w:numPr>
          <w:ilvl w:val="1"/>
          <w:numId w:val="22"/>
        </w:numPr>
        <w:ind w:left="720"/>
        <w:rPr>
          <w:bCs/>
          <w:sz w:val="20"/>
          <w:szCs w:val="20"/>
        </w:rPr>
      </w:pPr>
      <w:r w:rsidRPr="008E1FA7">
        <w:rPr>
          <w:bCs/>
          <w:sz w:val="20"/>
          <w:szCs w:val="20"/>
        </w:rPr>
        <w:t>Ophthalmic Suspension for the Prevention of Corneal Endothelial Cell Loss Following Cataract Surgery</w:t>
      </w:r>
      <w:r>
        <w:rPr>
          <w:bCs/>
          <w:sz w:val="20"/>
          <w:szCs w:val="20"/>
        </w:rPr>
        <w:t xml:space="preserve"> (GUARD, </w:t>
      </w:r>
      <w:r w:rsidRPr="000D5E44">
        <w:rPr>
          <w:bCs/>
          <w:sz w:val="20"/>
          <w:szCs w:val="20"/>
        </w:rPr>
        <w:t>NCT02128113)</w:t>
      </w:r>
    </w:p>
    <w:p w14:paraId="3C797F2D" w14:textId="77777777" w:rsidR="00963EA1" w:rsidRPr="00E518FF" w:rsidRDefault="00963EA1" w:rsidP="001E676B">
      <w:pPr>
        <w:pStyle w:val="NoSpacing"/>
        <w:numPr>
          <w:ilvl w:val="1"/>
          <w:numId w:val="22"/>
        </w:numPr>
        <w:ind w:left="720"/>
        <w:rPr>
          <w:bCs/>
          <w:sz w:val="20"/>
          <w:szCs w:val="20"/>
        </w:rPr>
      </w:pPr>
      <w:r w:rsidRPr="008E1FA7">
        <w:rPr>
          <w:bCs/>
          <w:sz w:val="20"/>
          <w:szCs w:val="20"/>
        </w:rPr>
        <w:t>Ophthalmic Suspension for the Treatment of Ocular Inflammation and Pain Following Ocular Surgery</w:t>
      </w:r>
      <w:r>
        <w:rPr>
          <w:bCs/>
          <w:sz w:val="20"/>
          <w:szCs w:val="20"/>
        </w:rPr>
        <w:t xml:space="preserve"> (</w:t>
      </w:r>
      <w:r w:rsidRPr="000D5E44">
        <w:rPr>
          <w:bCs/>
          <w:sz w:val="20"/>
          <w:szCs w:val="20"/>
        </w:rPr>
        <w:t>NCT02065375)</w:t>
      </w:r>
    </w:p>
    <w:p w14:paraId="1C10A370" w14:textId="77777777" w:rsidR="00963EA1" w:rsidRDefault="00963EA1" w:rsidP="001E676B">
      <w:pPr>
        <w:pStyle w:val="NoSpacing"/>
        <w:numPr>
          <w:ilvl w:val="0"/>
          <w:numId w:val="22"/>
        </w:numPr>
        <w:rPr>
          <w:sz w:val="20"/>
          <w:szCs w:val="20"/>
        </w:rPr>
      </w:pPr>
      <w:r w:rsidRPr="00BB214F">
        <w:rPr>
          <w:sz w:val="20"/>
          <w:szCs w:val="20"/>
        </w:rPr>
        <w:t>NRF2 Activators in Pipeline</w:t>
      </w:r>
    </w:p>
    <w:tbl>
      <w:tblPr>
        <w:tblStyle w:val="TableGrid"/>
        <w:tblW w:w="9535" w:type="dxa"/>
        <w:tblLayout w:type="fixed"/>
        <w:tblLook w:val="04A0" w:firstRow="1" w:lastRow="0" w:firstColumn="1" w:lastColumn="0" w:noHBand="0" w:noVBand="1"/>
      </w:tblPr>
      <w:tblGrid>
        <w:gridCol w:w="1481"/>
        <w:gridCol w:w="987"/>
        <w:gridCol w:w="990"/>
        <w:gridCol w:w="6077"/>
      </w:tblGrid>
      <w:tr w:rsidR="002A028E" w:rsidRPr="00BB214F" w14:paraId="355509C2" w14:textId="77777777" w:rsidTr="00487D94">
        <w:trPr>
          <w:cantSplit/>
        </w:trPr>
        <w:tc>
          <w:tcPr>
            <w:tcW w:w="1481" w:type="dxa"/>
          </w:tcPr>
          <w:p w14:paraId="55DEC15D" w14:textId="77777777" w:rsidR="002A028E" w:rsidRPr="008F42AD" w:rsidRDefault="002A028E" w:rsidP="003D0053">
            <w:pPr>
              <w:pStyle w:val="NoSpacing"/>
              <w:rPr>
                <w:b/>
                <w:bCs/>
                <w:sz w:val="20"/>
                <w:szCs w:val="20"/>
              </w:rPr>
            </w:pPr>
            <w:r w:rsidRPr="008F42AD">
              <w:rPr>
                <w:b/>
                <w:bCs/>
                <w:sz w:val="20"/>
                <w:szCs w:val="20"/>
              </w:rPr>
              <w:t>Prescription and Pipeline Products</w:t>
            </w:r>
          </w:p>
        </w:tc>
        <w:tc>
          <w:tcPr>
            <w:tcW w:w="987" w:type="dxa"/>
          </w:tcPr>
          <w:p w14:paraId="5DACFD2D" w14:textId="77777777" w:rsidR="002A028E" w:rsidRPr="008F42AD" w:rsidRDefault="002A028E" w:rsidP="003D0053">
            <w:pPr>
              <w:pStyle w:val="NoSpacing"/>
              <w:rPr>
                <w:b/>
                <w:bCs/>
                <w:sz w:val="20"/>
                <w:szCs w:val="20"/>
              </w:rPr>
            </w:pPr>
            <w:r w:rsidRPr="008F42AD">
              <w:rPr>
                <w:b/>
                <w:bCs/>
                <w:sz w:val="20"/>
                <w:szCs w:val="20"/>
              </w:rPr>
              <w:t>Class</w:t>
            </w:r>
          </w:p>
        </w:tc>
        <w:tc>
          <w:tcPr>
            <w:tcW w:w="990" w:type="dxa"/>
          </w:tcPr>
          <w:p w14:paraId="507992DE" w14:textId="77777777" w:rsidR="002A028E" w:rsidRPr="008F42AD" w:rsidRDefault="002A028E" w:rsidP="003D0053">
            <w:pPr>
              <w:pStyle w:val="NoSpacing"/>
              <w:rPr>
                <w:b/>
                <w:bCs/>
                <w:sz w:val="20"/>
                <w:szCs w:val="20"/>
              </w:rPr>
            </w:pPr>
            <w:r w:rsidRPr="008F42AD">
              <w:rPr>
                <w:b/>
                <w:bCs/>
                <w:sz w:val="20"/>
                <w:szCs w:val="20"/>
              </w:rPr>
              <w:t>Status</w:t>
            </w:r>
          </w:p>
        </w:tc>
        <w:tc>
          <w:tcPr>
            <w:tcW w:w="6077" w:type="dxa"/>
          </w:tcPr>
          <w:p w14:paraId="63044196" w14:textId="77777777" w:rsidR="002A028E" w:rsidRPr="008F42AD" w:rsidRDefault="002A028E" w:rsidP="003D0053">
            <w:pPr>
              <w:pStyle w:val="NoSpacing"/>
              <w:rPr>
                <w:b/>
                <w:bCs/>
                <w:sz w:val="20"/>
                <w:szCs w:val="20"/>
              </w:rPr>
            </w:pPr>
            <w:r w:rsidRPr="008F42AD">
              <w:rPr>
                <w:b/>
                <w:bCs/>
                <w:sz w:val="20"/>
                <w:szCs w:val="20"/>
              </w:rPr>
              <w:t>Comments</w:t>
            </w:r>
          </w:p>
        </w:tc>
      </w:tr>
      <w:tr w:rsidR="002A028E" w:rsidRPr="00BB214F" w14:paraId="3EC95BE6" w14:textId="77777777" w:rsidTr="00487D94">
        <w:trPr>
          <w:cantSplit/>
        </w:trPr>
        <w:tc>
          <w:tcPr>
            <w:tcW w:w="1481" w:type="dxa"/>
          </w:tcPr>
          <w:p w14:paraId="1A643165" w14:textId="77777777" w:rsidR="002A028E" w:rsidRPr="00BB214F" w:rsidRDefault="002A028E" w:rsidP="003D0053">
            <w:pPr>
              <w:pStyle w:val="NoSpacing"/>
              <w:rPr>
                <w:sz w:val="20"/>
                <w:szCs w:val="20"/>
              </w:rPr>
            </w:pPr>
            <w:r w:rsidRPr="00BB214F">
              <w:rPr>
                <w:sz w:val="20"/>
                <w:szCs w:val="20"/>
              </w:rPr>
              <w:t>Resveratrol</w:t>
            </w:r>
          </w:p>
        </w:tc>
        <w:tc>
          <w:tcPr>
            <w:tcW w:w="987" w:type="dxa"/>
          </w:tcPr>
          <w:p w14:paraId="10C7A1F9" w14:textId="77777777" w:rsidR="002A028E" w:rsidRPr="00BB214F" w:rsidRDefault="002A028E" w:rsidP="003D0053">
            <w:pPr>
              <w:pStyle w:val="NoSpacing"/>
              <w:rPr>
                <w:sz w:val="20"/>
                <w:szCs w:val="20"/>
              </w:rPr>
            </w:pPr>
            <w:r w:rsidRPr="00BB214F">
              <w:rPr>
                <w:sz w:val="20"/>
                <w:szCs w:val="20"/>
              </w:rPr>
              <w:t>NRF2 activator</w:t>
            </w:r>
          </w:p>
        </w:tc>
        <w:tc>
          <w:tcPr>
            <w:tcW w:w="990" w:type="dxa"/>
          </w:tcPr>
          <w:p w14:paraId="559D7C5C" w14:textId="77777777" w:rsidR="002A028E" w:rsidRPr="00BB214F" w:rsidRDefault="002A028E" w:rsidP="003D0053">
            <w:pPr>
              <w:pStyle w:val="NoSpacing"/>
              <w:rPr>
                <w:sz w:val="20"/>
                <w:szCs w:val="20"/>
              </w:rPr>
            </w:pPr>
            <w:r w:rsidRPr="00BB214F">
              <w:rPr>
                <w:sz w:val="20"/>
                <w:szCs w:val="20"/>
              </w:rPr>
              <w:t>Phase 2</w:t>
            </w:r>
          </w:p>
        </w:tc>
        <w:tc>
          <w:tcPr>
            <w:tcW w:w="6077" w:type="dxa"/>
          </w:tcPr>
          <w:p w14:paraId="15B8CA63" w14:textId="77777777" w:rsidR="002A028E" w:rsidRPr="008F42AD" w:rsidRDefault="002A028E" w:rsidP="001E676B">
            <w:pPr>
              <w:pStyle w:val="ListParagraph"/>
              <w:numPr>
                <w:ilvl w:val="0"/>
                <w:numId w:val="23"/>
              </w:numPr>
              <w:rPr>
                <w:rFonts w:cs="Arial"/>
                <w:szCs w:val="20"/>
              </w:rPr>
            </w:pPr>
            <w:r w:rsidRPr="008F42AD">
              <w:rPr>
                <w:rFonts w:cs="Arial"/>
                <w:color w:val="000000"/>
                <w:szCs w:val="20"/>
                <w:shd w:val="clear" w:color="auto" w:fill="FFFFFF"/>
              </w:rPr>
              <w:t>This study aims to determine the effect of two doses of resveratrol (1</w:t>
            </w:r>
            <w:r>
              <w:rPr>
                <w:rFonts w:cs="Arial"/>
                <w:color w:val="000000"/>
                <w:szCs w:val="20"/>
                <w:shd w:val="clear" w:color="auto" w:fill="FFFFFF"/>
              </w:rPr>
              <w:t xml:space="preserve"> </w:t>
            </w:r>
            <w:r w:rsidRPr="008F42AD">
              <w:rPr>
                <w:rFonts w:cs="Arial"/>
                <w:color w:val="000000"/>
                <w:szCs w:val="20"/>
                <w:shd w:val="clear" w:color="auto" w:fill="FFFFFF"/>
              </w:rPr>
              <w:t>g/day and 5</w:t>
            </w:r>
            <w:r>
              <w:rPr>
                <w:rFonts w:cs="Arial"/>
                <w:color w:val="000000"/>
                <w:szCs w:val="20"/>
                <w:shd w:val="clear" w:color="auto" w:fill="FFFFFF"/>
              </w:rPr>
              <w:t xml:space="preserve"> </w:t>
            </w:r>
            <w:r w:rsidRPr="008F42AD">
              <w:rPr>
                <w:rFonts w:cs="Arial"/>
                <w:color w:val="000000"/>
                <w:szCs w:val="20"/>
                <w:shd w:val="clear" w:color="auto" w:fill="FFFFFF"/>
              </w:rPr>
              <w:t>g/day) taken for 12 weeks on frataxin levels in individuals with Friedreich ataxia</w:t>
            </w:r>
          </w:p>
          <w:p w14:paraId="6D390031" w14:textId="77777777" w:rsidR="002A028E" w:rsidRPr="008F42AD" w:rsidRDefault="002A028E" w:rsidP="001E676B">
            <w:pPr>
              <w:pStyle w:val="ListParagraph"/>
              <w:numPr>
                <w:ilvl w:val="0"/>
                <w:numId w:val="23"/>
              </w:numPr>
              <w:rPr>
                <w:rFonts w:cs="Arial"/>
                <w:szCs w:val="20"/>
              </w:rPr>
            </w:pPr>
            <w:r w:rsidRPr="008F42AD">
              <w:rPr>
                <w:rFonts w:cs="Arial"/>
                <w:color w:val="000000"/>
                <w:szCs w:val="20"/>
                <w:shd w:val="clear" w:color="auto" w:fill="FFFFFF"/>
              </w:rPr>
              <w:t>Additional outcome measures include the effect of resveratrol on markers of oxidative stress, clinical measures of ataxia, and cardiac parameters.</w:t>
            </w:r>
          </w:p>
        </w:tc>
      </w:tr>
      <w:tr w:rsidR="002A028E" w:rsidRPr="00BB214F" w14:paraId="42334F77" w14:textId="77777777" w:rsidTr="00487D94">
        <w:trPr>
          <w:cantSplit/>
        </w:trPr>
        <w:tc>
          <w:tcPr>
            <w:tcW w:w="1481" w:type="dxa"/>
          </w:tcPr>
          <w:p w14:paraId="4DD76962" w14:textId="77777777" w:rsidR="002A028E" w:rsidRPr="00BB214F" w:rsidRDefault="002A028E" w:rsidP="003D0053">
            <w:pPr>
              <w:pStyle w:val="NoSpacing"/>
              <w:rPr>
                <w:sz w:val="20"/>
                <w:szCs w:val="20"/>
              </w:rPr>
            </w:pPr>
            <w:r w:rsidRPr="00BB214F">
              <w:rPr>
                <w:sz w:val="20"/>
                <w:szCs w:val="20"/>
              </w:rPr>
              <w:t>Dimethyl Fumarate (DMF)</w:t>
            </w:r>
          </w:p>
        </w:tc>
        <w:tc>
          <w:tcPr>
            <w:tcW w:w="987" w:type="dxa"/>
          </w:tcPr>
          <w:p w14:paraId="5BF2C4D8" w14:textId="77777777" w:rsidR="002A028E" w:rsidRPr="00BB214F" w:rsidRDefault="002A028E" w:rsidP="003D0053">
            <w:pPr>
              <w:pStyle w:val="NoSpacing"/>
              <w:rPr>
                <w:sz w:val="20"/>
                <w:szCs w:val="20"/>
              </w:rPr>
            </w:pPr>
            <w:r w:rsidRPr="00BB214F">
              <w:rPr>
                <w:sz w:val="20"/>
                <w:szCs w:val="20"/>
              </w:rPr>
              <w:t>NRF2 activator</w:t>
            </w:r>
          </w:p>
        </w:tc>
        <w:tc>
          <w:tcPr>
            <w:tcW w:w="990" w:type="dxa"/>
          </w:tcPr>
          <w:p w14:paraId="0B76700F" w14:textId="77777777" w:rsidR="002A028E" w:rsidRPr="00BB214F" w:rsidRDefault="002A028E" w:rsidP="003D0053">
            <w:pPr>
              <w:pStyle w:val="NoSpacing"/>
              <w:rPr>
                <w:sz w:val="20"/>
                <w:szCs w:val="20"/>
              </w:rPr>
            </w:pPr>
            <w:r>
              <w:rPr>
                <w:sz w:val="20"/>
                <w:szCs w:val="20"/>
              </w:rPr>
              <w:t>N</w:t>
            </w:r>
            <w:r w:rsidRPr="00BB214F">
              <w:rPr>
                <w:sz w:val="20"/>
                <w:szCs w:val="20"/>
              </w:rPr>
              <w:t>one</w:t>
            </w:r>
          </w:p>
        </w:tc>
        <w:tc>
          <w:tcPr>
            <w:tcW w:w="6077" w:type="dxa"/>
          </w:tcPr>
          <w:p w14:paraId="59B59DE7" w14:textId="77777777" w:rsidR="002A028E" w:rsidRPr="008F42AD" w:rsidRDefault="002A028E" w:rsidP="001E676B">
            <w:pPr>
              <w:pStyle w:val="ListParagraph"/>
              <w:numPr>
                <w:ilvl w:val="0"/>
                <w:numId w:val="24"/>
              </w:numPr>
              <w:rPr>
                <w:rFonts w:cs="Arial"/>
                <w:szCs w:val="20"/>
              </w:rPr>
            </w:pPr>
            <w:r w:rsidRPr="008F42AD">
              <w:rPr>
                <w:rFonts w:cs="Arial"/>
                <w:szCs w:val="20"/>
              </w:rPr>
              <w:t>Not currently FDA</w:t>
            </w:r>
            <w:r>
              <w:rPr>
                <w:rFonts w:cs="Arial"/>
                <w:szCs w:val="20"/>
              </w:rPr>
              <w:t>-</w:t>
            </w:r>
            <w:r w:rsidRPr="008F42AD">
              <w:rPr>
                <w:rFonts w:cs="Arial"/>
                <w:szCs w:val="20"/>
              </w:rPr>
              <w:t>approved to treat FA.</w:t>
            </w:r>
          </w:p>
          <w:p w14:paraId="27779870" w14:textId="77777777" w:rsidR="002A028E" w:rsidRPr="008F42AD" w:rsidRDefault="002A028E" w:rsidP="001E676B">
            <w:pPr>
              <w:pStyle w:val="ListParagraph"/>
              <w:numPr>
                <w:ilvl w:val="0"/>
                <w:numId w:val="24"/>
              </w:numPr>
              <w:rPr>
                <w:rFonts w:cs="Arial"/>
                <w:szCs w:val="20"/>
              </w:rPr>
            </w:pPr>
            <w:r w:rsidRPr="008F42AD">
              <w:rPr>
                <w:rFonts w:cs="Arial"/>
                <w:szCs w:val="20"/>
              </w:rPr>
              <w:t xml:space="preserve">No current clinical trials taking place for patients with FA. </w:t>
            </w:r>
          </w:p>
          <w:p w14:paraId="321FBB48" w14:textId="77777777" w:rsidR="002A028E" w:rsidRPr="008F42AD" w:rsidRDefault="002A028E" w:rsidP="001E676B">
            <w:pPr>
              <w:pStyle w:val="ListParagraph"/>
              <w:numPr>
                <w:ilvl w:val="0"/>
                <w:numId w:val="24"/>
              </w:numPr>
              <w:rPr>
                <w:rFonts w:cs="Arial"/>
                <w:szCs w:val="20"/>
              </w:rPr>
            </w:pPr>
            <w:r w:rsidRPr="008F42AD">
              <w:rPr>
                <w:rFonts w:cs="Arial"/>
                <w:szCs w:val="20"/>
              </w:rPr>
              <w:t>DMF increases FXN expression in FA cell model, FA mouse model and in DMF</w:t>
            </w:r>
            <w:r>
              <w:rPr>
                <w:rFonts w:cs="Arial"/>
                <w:szCs w:val="20"/>
              </w:rPr>
              <w:t>-</w:t>
            </w:r>
            <w:r w:rsidRPr="008F42AD">
              <w:rPr>
                <w:rFonts w:cs="Arial"/>
                <w:szCs w:val="20"/>
              </w:rPr>
              <w:t>treated patients.</w:t>
            </w:r>
          </w:p>
          <w:p w14:paraId="066094A6" w14:textId="77777777" w:rsidR="002A028E" w:rsidRPr="008F42AD" w:rsidRDefault="002A028E" w:rsidP="001E676B">
            <w:pPr>
              <w:pStyle w:val="ListParagraph"/>
              <w:numPr>
                <w:ilvl w:val="0"/>
                <w:numId w:val="24"/>
              </w:numPr>
              <w:rPr>
                <w:rFonts w:cs="Arial"/>
                <w:szCs w:val="20"/>
              </w:rPr>
            </w:pPr>
            <w:r w:rsidRPr="008F42AD">
              <w:rPr>
                <w:rFonts w:cs="Arial"/>
                <w:szCs w:val="20"/>
              </w:rPr>
              <w:t>Patients with multiple sclerosis taking DMF showed significant increase</w:t>
            </w:r>
            <w:r>
              <w:rPr>
                <w:rFonts w:cs="Arial"/>
                <w:szCs w:val="20"/>
              </w:rPr>
              <w:t xml:space="preserve"> (about </w:t>
            </w:r>
            <w:r w:rsidRPr="008F42AD">
              <w:rPr>
                <w:rFonts w:cs="Arial"/>
                <w:szCs w:val="20"/>
              </w:rPr>
              <w:t>85%</w:t>
            </w:r>
            <w:r>
              <w:rPr>
                <w:rFonts w:cs="Arial"/>
                <w:szCs w:val="20"/>
              </w:rPr>
              <w:t>)</w:t>
            </w:r>
            <w:r w:rsidRPr="008F42AD">
              <w:rPr>
                <w:rFonts w:cs="Arial"/>
                <w:szCs w:val="20"/>
              </w:rPr>
              <w:t xml:space="preserve"> in FXN expression</w:t>
            </w:r>
            <w:r>
              <w:rPr>
                <w:rFonts w:cs="Arial"/>
                <w:szCs w:val="20"/>
              </w:rPr>
              <w:t>.</w:t>
            </w:r>
          </w:p>
        </w:tc>
      </w:tr>
    </w:tbl>
    <w:p w14:paraId="07D1141B" w14:textId="77777777" w:rsidR="00EF6A41" w:rsidRDefault="00EF6A41" w:rsidP="001E676B">
      <w:pPr>
        <w:pStyle w:val="NoSpacing"/>
        <w:numPr>
          <w:ilvl w:val="0"/>
          <w:numId w:val="22"/>
        </w:numPr>
        <w:rPr>
          <w:sz w:val="20"/>
          <w:szCs w:val="20"/>
        </w:rPr>
      </w:pPr>
      <w:r w:rsidRPr="00BB214F">
        <w:rPr>
          <w:sz w:val="20"/>
          <w:szCs w:val="20"/>
        </w:rPr>
        <w:t>Other Medications to Treat FA in Pipeline</w:t>
      </w:r>
    </w:p>
    <w:tbl>
      <w:tblPr>
        <w:tblStyle w:val="TableGrid"/>
        <w:tblW w:w="9535" w:type="dxa"/>
        <w:tblLayout w:type="fixed"/>
        <w:tblLook w:val="04A0" w:firstRow="1" w:lastRow="0" w:firstColumn="1" w:lastColumn="0" w:noHBand="0" w:noVBand="1"/>
      </w:tblPr>
      <w:tblGrid>
        <w:gridCol w:w="1435"/>
        <w:gridCol w:w="1573"/>
        <w:gridCol w:w="1442"/>
        <w:gridCol w:w="5085"/>
      </w:tblGrid>
      <w:tr w:rsidR="005F1494" w:rsidRPr="00BB214F" w14:paraId="34248DCD" w14:textId="77777777" w:rsidTr="004134D1">
        <w:tc>
          <w:tcPr>
            <w:tcW w:w="1435" w:type="dxa"/>
          </w:tcPr>
          <w:p w14:paraId="0DE7DB08" w14:textId="77777777" w:rsidR="005F1494" w:rsidRPr="008F42AD" w:rsidRDefault="005F1494" w:rsidP="003D0053">
            <w:pPr>
              <w:pStyle w:val="NoSpacing"/>
              <w:rPr>
                <w:b/>
                <w:bCs/>
                <w:sz w:val="20"/>
                <w:szCs w:val="20"/>
              </w:rPr>
            </w:pPr>
            <w:r w:rsidRPr="008F42AD">
              <w:rPr>
                <w:b/>
                <w:bCs/>
                <w:sz w:val="20"/>
                <w:szCs w:val="20"/>
              </w:rPr>
              <w:t>Prescription and Pipeline Products</w:t>
            </w:r>
          </w:p>
        </w:tc>
        <w:tc>
          <w:tcPr>
            <w:tcW w:w="1573" w:type="dxa"/>
          </w:tcPr>
          <w:p w14:paraId="12CA83D9" w14:textId="77777777" w:rsidR="005F1494" w:rsidRPr="008F42AD" w:rsidRDefault="005F1494" w:rsidP="003D0053">
            <w:pPr>
              <w:pStyle w:val="NoSpacing"/>
              <w:rPr>
                <w:b/>
                <w:bCs/>
                <w:sz w:val="20"/>
                <w:szCs w:val="20"/>
              </w:rPr>
            </w:pPr>
            <w:r w:rsidRPr="008F42AD">
              <w:rPr>
                <w:b/>
                <w:bCs/>
                <w:sz w:val="20"/>
                <w:szCs w:val="20"/>
              </w:rPr>
              <w:t>Class</w:t>
            </w:r>
          </w:p>
        </w:tc>
        <w:tc>
          <w:tcPr>
            <w:tcW w:w="1442" w:type="dxa"/>
          </w:tcPr>
          <w:p w14:paraId="7E30C94F" w14:textId="77777777" w:rsidR="005F1494" w:rsidRPr="008F42AD" w:rsidRDefault="005F1494" w:rsidP="003D0053">
            <w:pPr>
              <w:pStyle w:val="NoSpacing"/>
              <w:rPr>
                <w:b/>
                <w:bCs/>
                <w:sz w:val="20"/>
                <w:szCs w:val="20"/>
              </w:rPr>
            </w:pPr>
            <w:r w:rsidRPr="008F42AD">
              <w:rPr>
                <w:b/>
                <w:bCs/>
                <w:sz w:val="20"/>
                <w:szCs w:val="20"/>
              </w:rPr>
              <w:t>Status</w:t>
            </w:r>
          </w:p>
        </w:tc>
        <w:tc>
          <w:tcPr>
            <w:tcW w:w="5085" w:type="dxa"/>
          </w:tcPr>
          <w:p w14:paraId="30A7E5B8" w14:textId="77777777" w:rsidR="005F1494" w:rsidRPr="008F42AD" w:rsidRDefault="005F1494" w:rsidP="003D0053">
            <w:pPr>
              <w:pStyle w:val="NoSpacing"/>
              <w:rPr>
                <w:b/>
                <w:bCs/>
                <w:sz w:val="20"/>
                <w:szCs w:val="20"/>
              </w:rPr>
            </w:pPr>
            <w:r w:rsidRPr="008F42AD">
              <w:rPr>
                <w:b/>
                <w:bCs/>
                <w:sz w:val="20"/>
                <w:szCs w:val="20"/>
              </w:rPr>
              <w:t>Comments</w:t>
            </w:r>
          </w:p>
        </w:tc>
      </w:tr>
      <w:tr w:rsidR="005F1494" w:rsidRPr="00BB214F" w14:paraId="2B76865D" w14:textId="77777777" w:rsidTr="004134D1">
        <w:tc>
          <w:tcPr>
            <w:tcW w:w="1435" w:type="dxa"/>
          </w:tcPr>
          <w:p w14:paraId="7960AFA9" w14:textId="77777777" w:rsidR="005F1494" w:rsidRPr="008F42AD" w:rsidRDefault="005F1494" w:rsidP="003D0053">
            <w:pPr>
              <w:pStyle w:val="NoSpacing"/>
              <w:rPr>
                <w:sz w:val="20"/>
                <w:szCs w:val="20"/>
              </w:rPr>
            </w:pPr>
            <w:r w:rsidRPr="008F42AD">
              <w:rPr>
                <w:sz w:val="20"/>
                <w:szCs w:val="20"/>
              </w:rPr>
              <w:t>PTC-743; vatiquinone</w:t>
            </w:r>
          </w:p>
        </w:tc>
        <w:tc>
          <w:tcPr>
            <w:tcW w:w="1573" w:type="dxa"/>
          </w:tcPr>
          <w:p w14:paraId="0D3FDD76" w14:textId="77777777" w:rsidR="005F1494" w:rsidRPr="008F42AD" w:rsidRDefault="005F1494" w:rsidP="003D0053">
            <w:pPr>
              <w:pStyle w:val="NoSpacing"/>
              <w:rPr>
                <w:sz w:val="20"/>
                <w:szCs w:val="20"/>
              </w:rPr>
            </w:pPr>
            <w:r w:rsidRPr="008F42AD">
              <w:rPr>
                <w:sz w:val="20"/>
                <w:szCs w:val="20"/>
              </w:rPr>
              <w:t>Para-benzoquinones</w:t>
            </w:r>
          </w:p>
        </w:tc>
        <w:tc>
          <w:tcPr>
            <w:tcW w:w="1442" w:type="dxa"/>
          </w:tcPr>
          <w:p w14:paraId="661F9D1B" w14:textId="77777777" w:rsidR="005F1494" w:rsidRDefault="005F1494" w:rsidP="003D0053">
            <w:pPr>
              <w:pStyle w:val="NoSpacing"/>
              <w:rPr>
                <w:sz w:val="20"/>
                <w:szCs w:val="20"/>
              </w:rPr>
            </w:pPr>
            <w:r>
              <w:rPr>
                <w:sz w:val="20"/>
                <w:szCs w:val="20"/>
              </w:rPr>
              <w:t>CRL</w:t>
            </w:r>
          </w:p>
          <w:p w14:paraId="65DAF936" w14:textId="77777777" w:rsidR="005F1494" w:rsidRPr="008F42AD" w:rsidRDefault="005F1494" w:rsidP="003D0053">
            <w:pPr>
              <w:pStyle w:val="NoSpacing"/>
              <w:rPr>
                <w:sz w:val="20"/>
                <w:szCs w:val="20"/>
              </w:rPr>
            </w:pPr>
            <w:r>
              <w:rPr>
                <w:sz w:val="20"/>
                <w:szCs w:val="20"/>
              </w:rPr>
              <w:t>(8/19/2025)</w:t>
            </w:r>
          </w:p>
        </w:tc>
        <w:tc>
          <w:tcPr>
            <w:tcW w:w="5085" w:type="dxa"/>
          </w:tcPr>
          <w:p w14:paraId="1C9775BE" w14:textId="77777777" w:rsidR="005F1494" w:rsidRPr="008F42AD" w:rsidRDefault="005F1494" w:rsidP="001E676B">
            <w:pPr>
              <w:pStyle w:val="ListParagraph"/>
              <w:numPr>
                <w:ilvl w:val="0"/>
                <w:numId w:val="25"/>
              </w:numPr>
              <w:rPr>
                <w:rFonts w:cs="Arial"/>
                <w:szCs w:val="20"/>
              </w:rPr>
            </w:pPr>
            <w:r w:rsidRPr="008F42AD">
              <w:rPr>
                <w:rFonts w:cs="Arial"/>
                <w:szCs w:val="20"/>
              </w:rPr>
              <w:t>Improves mitochondrial function and reduces oxidative stress.</w:t>
            </w:r>
          </w:p>
          <w:p w14:paraId="798CCDCA" w14:textId="77777777" w:rsidR="005F1494" w:rsidRPr="008F42AD" w:rsidRDefault="005F1494" w:rsidP="001E676B">
            <w:pPr>
              <w:pStyle w:val="ListParagraph"/>
              <w:numPr>
                <w:ilvl w:val="0"/>
                <w:numId w:val="25"/>
              </w:numPr>
              <w:rPr>
                <w:rFonts w:cs="Arial"/>
                <w:szCs w:val="20"/>
              </w:rPr>
            </w:pPr>
            <w:r w:rsidRPr="008F42AD">
              <w:rPr>
                <w:rFonts w:cs="Arial"/>
                <w:szCs w:val="20"/>
              </w:rPr>
              <w:t xml:space="preserve">Inhibits 15-lipoxygenase, a key enzyme that regulates inflammation and oxidative stress. </w:t>
            </w:r>
          </w:p>
          <w:p w14:paraId="29BFC16F" w14:textId="77777777" w:rsidR="005F1494" w:rsidRPr="008F42AD" w:rsidRDefault="005F1494" w:rsidP="001E676B">
            <w:pPr>
              <w:pStyle w:val="ListParagraph"/>
              <w:numPr>
                <w:ilvl w:val="0"/>
                <w:numId w:val="25"/>
              </w:numPr>
              <w:rPr>
                <w:rFonts w:cs="Arial"/>
                <w:szCs w:val="20"/>
              </w:rPr>
            </w:pPr>
            <w:r w:rsidRPr="008F42AD">
              <w:rPr>
                <w:rFonts w:cs="Arial"/>
                <w:szCs w:val="20"/>
              </w:rPr>
              <w:t>Granted Orphan Drug and Fast Track designations for FA.</w:t>
            </w:r>
          </w:p>
          <w:p w14:paraId="3C6C8D53" w14:textId="77777777" w:rsidR="005F1494" w:rsidRPr="008F42AD" w:rsidRDefault="005F1494" w:rsidP="001E676B">
            <w:pPr>
              <w:pStyle w:val="ListParagraph"/>
              <w:numPr>
                <w:ilvl w:val="0"/>
                <w:numId w:val="25"/>
              </w:numPr>
              <w:rPr>
                <w:rFonts w:cs="Arial"/>
                <w:szCs w:val="20"/>
              </w:rPr>
            </w:pPr>
            <w:r w:rsidRPr="008F42AD">
              <w:rPr>
                <w:rFonts w:cs="Arial"/>
                <w:szCs w:val="20"/>
              </w:rPr>
              <w:t xml:space="preserve">Derivative of </w:t>
            </w:r>
            <w:r>
              <w:rPr>
                <w:rFonts w:cs="Arial"/>
                <w:szCs w:val="20"/>
              </w:rPr>
              <w:t>v</w:t>
            </w:r>
            <w:r w:rsidRPr="008F42AD">
              <w:rPr>
                <w:rFonts w:cs="Arial"/>
                <w:szCs w:val="20"/>
              </w:rPr>
              <w:t>itamin E.</w:t>
            </w:r>
          </w:p>
        </w:tc>
      </w:tr>
      <w:tr w:rsidR="005F1494" w:rsidRPr="00BB214F" w14:paraId="54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CTI-1601</w:t>
            </w:r>
          </w:p>
          <w:p w14:paraId="08798963" w14:textId="77777777" w:rsidR="005F1494" w:rsidRPr="008F42AD" w:rsidRDefault="005F1494" w:rsidP="003D0053">
            <w:pPr>
              <w:pStyle w:val="NoSpacing"/>
              <w:rPr>
                <w:sz w:val="20"/>
                <w:szCs w:val="20"/>
              </w:rPr>
            </w:pPr>
            <w:r>
              <w:rPr>
                <w:sz w:val="20"/>
                <w:szCs w:val="20"/>
              </w:rPr>
              <w:t>Nomlabofusp</w:t>
            </w:r>
          </w:p>
        </w:tc>
        <w:tc>
          <w:tcPr>
            <w:tcW w:w="1573" w:type="dxa"/>
          </w:tcPr>
          <w:p w14:paraId="399853D6" w14:textId="77777777" w:rsidR="005F1494" w:rsidRPr="008F42AD" w:rsidRDefault="005F1494" w:rsidP="003D0053">
            <w:pPr>
              <w:pStyle w:val="NoSpacing"/>
              <w:rPr>
                <w:sz w:val="20"/>
                <w:szCs w:val="20"/>
              </w:rPr>
            </w:pPr>
            <w:r>
              <w:rPr>
                <w:sz w:val="20"/>
                <w:szCs w:val="20"/>
              </w:rPr>
              <w:t>Frataxin</w:t>
            </w:r>
          </w:p>
        </w:tc>
        <w:tc>
          <w:tcPr>
            <w:tcW w:w="1442" w:type="dxa"/>
          </w:tcPr>
          <w:p w14:paraId="23D50D6A" w14:textId="77777777" w:rsidR="005F1494" w:rsidRDefault="005F1494" w:rsidP="003D0053">
            <w:pPr>
              <w:pStyle w:val="NoSpacing"/>
              <w:rPr>
                <w:sz w:val="20"/>
                <w:szCs w:val="20"/>
              </w:rPr>
            </w:pPr>
            <w:r>
              <w:rPr>
                <w:sz w:val="20"/>
                <w:szCs w:val="20"/>
              </w:rPr>
              <w:t>Phase II</w:t>
            </w:r>
          </w:p>
        </w:tc>
        <w:tc>
          <w:tcPr>
            <w:tcW w:w="5085" w:type="dxa"/>
          </w:tcPr>
          <w:p w14:paraId="3F7058B9" w14:textId="77777777" w:rsidR="005F1494" w:rsidRPr="008F42AD" w:rsidRDefault="005F1494" w:rsidP="001E676B">
            <w:pPr>
              <w:pStyle w:val="ListParagraph"/>
              <w:numPr>
                <w:ilvl w:val="0"/>
                <w:numId w:val="25"/>
              </w:numPr>
              <w:rPr>
                <w:rFonts w:cs="Arial"/>
                <w:szCs w:val="20"/>
              </w:rPr>
            </w:pPr>
            <w:r>
              <w:rPr>
                <w:rFonts w:cs="Arial"/>
                <w:szCs w:val="20"/>
              </w:rPr>
              <w:t>P</w:t>
            </w:r>
            <w:r w:rsidRPr="007719F9">
              <w:rPr>
                <w:rFonts w:cs="Arial"/>
                <w:szCs w:val="20"/>
              </w:rPr>
              <w:t>rotein replacement therapy to address the deficiency of frataxin (FXN)</w:t>
            </w:r>
          </w:p>
        </w:tc>
      </w:tr>
      <w:tr w:rsidR="005F1494" w:rsidRPr="00BB214F" w14:paraId="2E7C3C15" w14:textId="77777777" w:rsidTr="004134D1">
        <w:tc>
          <w:tcPr>
            <w:tcW w:w="1435" w:type="dxa"/>
          </w:tcPr>
          <w:p w14:paraId="69186284" w14:textId="77777777" w:rsidR="005F1494" w:rsidRDefault="005F1494" w:rsidP="003D0053">
            <w:pPr>
              <w:pStyle w:val="NoSpacing"/>
              <w:rPr>
                <w:sz w:val="20"/>
                <w:szCs w:val="20"/>
              </w:rPr>
            </w:pPr>
            <w:r>
              <w:rPr>
                <w:sz w:val="20"/>
                <w:szCs w:val="20"/>
              </w:rPr>
              <w:t>LX2006</w:t>
            </w:r>
          </w:p>
          <w:p w14:paraId="678860E1" w14:textId="77777777" w:rsidR="005F1494" w:rsidRDefault="005F1494" w:rsidP="003D0053">
            <w:pPr>
              <w:pStyle w:val="NoSpacing"/>
              <w:rPr>
                <w:sz w:val="20"/>
                <w:szCs w:val="20"/>
              </w:rPr>
            </w:pPr>
            <w:r>
              <w:rPr>
                <w:sz w:val="20"/>
                <w:szCs w:val="20"/>
              </w:rPr>
              <w:t>TBD</w:t>
            </w:r>
          </w:p>
        </w:tc>
        <w:tc>
          <w:tcPr>
            <w:tcW w:w="1573" w:type="dxa"/>
          </w:tcPr>
          <w:p w14:paraId="75F98C66" w14:textId="77777777" w:rsidR="005F1494" w:rsidRDefault="005F1494" w:rsidP="003D0053">
            <w:pPr>
              <w:pStyle w:val="NoSpacing"/>
              <w:rPr>
                <w:sz w:val="20"/>
                <w:szCs w:val="20"/>
              </w:rPr>
            </w:pPr>
            <w:r>
              <w:rPr>
                <w:sz w:val="20"/>
                <w:szCs w:val="20"/>
              </w:rPr>
              <w:t>Gene Therapy</w:t>
            </w:r>
          </w:p>
        </w:tc>
        <w:tc>
          <w:tcPr>
            <w:tcW w:w="1442" w:type="dxa"/>
          </w:tcPr>
          <w:p w14:paraId="018C1E25" w14:textId="77777777" w:rsidR="005F1494" w:rsidRDefault="005F1494" w:rsidP="003D0053">
            <w:pPr>
              <w:pStyle w:val="NoSpacing"/>
              <w:rPr>
                <w:sz w:val="20"/>
                <w:szCs w:val="20"/>
              </w:rPr>
            </w:pPr>
            <w:r>
              <w:rPr>
                <w:sz w:val="20"/>
                <w:szCs w:val="20"/>
              </w:rPr>
              <w:t>Phase II</w:t>
            </w:r>
          </w:p>
        </w:tc>
        <w:tc>
          <w:tcPr>
            <w:tcW w:w="5085" w:type="dxa"/>
          </w:tcPr>
          <w:p w14:paraId="776D12EE" w14:textId="77777777" w:rsidR="005F1494" w:rsidRDefault="005F1494" w:rsidP="001E676B">
            <w:pPr>
              <w:pStyle w:val="ListParagraph"/>
              <w:numPr>
                <w:ilvl w:val="0"/>
                <w:numId w:val="25"/>
              </w:numPr>
              <w:rPr>
                <w:rFonts w:cs="Arial"/>
                <w:szCs w:val="20"/>
              </w:rPr>
            </w:pPr>
            <w:r w:rsidRPr="007719F9">
              <w:rPr>
                <w:rFonts w:cs="Arial"/>
                <w:szCs w:val="20"/>
              </w:rPr>
              <w:t>AAVrh.10hFXN-based gene therapy</w:t>
            </w:r>
          </w:p>
        </w:tc>
      </w:tr>
    </w:tbl>
    <w:p w14:paraId="3FB31FFB" w14:textId="77777777" w:rsidR="002A028E" w:rsidRDefault="002A028E" w:rsidP="005F1494">
      <w:pPr>
        <w:pStyle w:val="NoSpacing"/>
        <w:ind w:left="360"/>
        <w:rPr>
          <w:sz w:val="20"/>
          <w:szCs w:val="20"/>
        </w:rPr>
      </w:pPr>
    </w:p>
    <w:p w14:paraId="5EB407F1" w14:textId="77777777" w:rsidR="008536F9" w:rsidRPr="00417F7D" w:rsidRDefault="008536F9" w:rsidP="00BC46EE">
      <w:pPr>
        <w:pStyle w:val="Style2"/>
      </w:pPr>
      <w:r w:rsidRPr="00417F7D">
        <w:t>References:</w:t>
      </w:r>
    </w:p>
    <w:p w14:paraId="2846CC3E" w14:textId="76A6F34B" w:rsidR="007B240B" w:rsidRPr="004134D1" w:rsidRDefault="007B240B" w:rsidP="001E676B">
      <w:pPr>
        <w:pStyle w:val="ListParagraph"/>
        <w:numPr>
          <w:ilvl w:val="0"/>
          <w:numId w:val="9"/>
        </w:numPr>
        <w:spacing w:after="200" w:line="276" w:lineRule="auto"/>
        <w:rPr>
          <w:rFonts w:cs="Arial"/>
          <w:sz w:val="18"/>
          <w:szCs w:val="18"/>
          <w:shd w:val="clear" w:color="auto" w:fill="FFFFFF"/>
        </w:rPr>
      </w:pPr>
      <w:r w:rsidRPr="00E23F5E">
        <w:rPr>
          <w:rFonts w:cs="Arial"/>
          <w:sz w:val="18"/>
          <w:szCs w:val="18"/>
          <w:shd w:val="clear" w:color="auto" w:fill="FFFFFF"/>
        </w:rPr>
        <w:t>SKYCLARYS® (omaveloxolone)</w:t>
      </w:r>
      <w:r w:rsidRPr="00417F7D">
        <w:rPr>
          <w:rFonts w:cs="Arial"/>
          <w:sz w:val="18"/>
          <w:szCs w:val="18"/>
          <w:shd w:val="clear" w:color="auto" w:fill="FFFFFF"/>
        </w:rPr>
        <w:t xml:space="preserve"> [package insert]. </w:t>
      </w:r>
      <w:r w:rsidRPr="004134D1">
        <w:rPr>
          <w:rFonts w:cs="Arial"/>
          <w:sz w:val="18"/>
          <w:szCs w:val="18"/>
          <w:shd w:val="clear" w:color="auto" w:fill="FFFFFF"/>
        </w:rPr>
        <w:t>Plano, TX: Reata Pharmaceuticals, Inc., 12/2024</w:t>
      </w:r>
    </w:p>
    <w:p w14:paraId="3F162F94" w14:textId="38C525C9" w:rsidR="007B240B" w:rsidRDefault="007B240B" w:rsidP="001E676B">
      <w:pPr>
        <w:pStyle w:val="ListParagraph"/>
        <w:numPr>
          <w:ilvl w:val="0"/>
          <w:numId w:val="9"/>
        </w:numPr>
        <w:spacing w:after="200" w:line="276" w:lineRule="auto"/>
        <w:rPr>
          <w:rFonts w:cs="Arial"/>
          <w:sz w:val="18"/>
          <w:szCs w:val="18"/>
          <w:shd w:val="clear" w:color="auto" w:fill="FFFFFF"/>
        </w:rPr>
      </w:pPr>
      <w:r w:rsidRPr="00542194">
        <w:rPr>
          <w:rFonts w:cs="Arial"/>
          <w:sz w:val="18"/>
          <w:szCs w:val="18"/>
          <w:shd w:val="clear" w:color="auto" w:fill="FFFFFF"/>
        </w:rPr>
        <w:t>IPD Analytics</w:t>
      </w:r>
      <w:r w:rsidRPr="00417F7D">
        <w:rPr>
          <w:rFonts w:cs="Arial"/>
          <w:sz w:val="18"/>
          <w:szCs w:val="18"/>
          <w:shd w:val="clear" w:color="auto" w:fill="FFFFFF"/>
        </w:rPr>
        <w:t xml:space="preserve">. </w:t>
      </w:r>
      <w:r>
        <w:rPr>
          <w:rFonts w:cs="Arial"/>
          <w:sz w:val="18"/>
          <w:szCs w:val="18"/>
          <w:shd w:val="clear" w:color="auto" w:fill="FFFFFF"/>
        </w:rPr>
        <w:t xml:space="preserve">New Drug Preview: </w:t>
      </w:r>
      <w:r w:rsidRPr="00542194">
        <w:rPr>
          <w:rFonts w:cs="Arial"/>
          <w:sz w:val="18"/>
          <w:szCs w:val="18"/>
          <w:shd w:val="clear" w:color="auto" w:fill="FFFFFF"/>
        </w:rPr>
        <w:t>Omaveloxolone (Omav; RTA 408)</w:t>
      </w:r>
      <w:r w:rsidRPr="00417F7D">
        <w:rPr>
          <w:rFonts w:cs="Arial"/>
          <w:sz w:val="18"/>
          <w:szCs w:val="18"/>
          <w:shd w:val="clear" w:color="auto" w:fill="FFFFFF"/>
        </w:rPr>
        <w:t>.</w:t>
      </w:r>
      <w:r>
        <w:rPr>
          <w:rFonts w:cs="Arial"/>
          <w:sz w:val="18"/>
          <w:szCs w:val="18"/>
          <w:shd w:val="clear" w:color="auto" w:fill="FFFFFF"/>
        </w:rPr>
        <w:t xml:space="preserve"> </w:t>
      </w:r>
      <w:r w:rsidRPr="00542194">
        <w:rPr>
          <w:rFonts w:cs="Arial"/>
          <w:sz w:val="18"/>
          <w:szCs w:val="18"/>
          <w:shd w:val="clear" w:color="auto" w:fill="FFFFFF"/>
        </w:rPr>
        <w:t>Published: August 2022</w:t>
      </w:r>
      <w:r w:rsidRPr="00417F7D">
        <w:rPr>
          <w:rFonts w:cs="Arial"/>
          <w:sz w:val="18"/>
          <w:szCs w:val="18"/>
          <w:shd w:val="clear" w:color="auto" w:fill="FFFFFF"/>
        </w:rPr>
        <w:t xml:space="preserve">. </w:t>
      </w:r>
      <w:r>
        <w:rPr>
          <w:rFonts w:cs="Arial"/>
          <w:sz w:val="18"/>
          <w:szCs w:val="18"/>
          <w:shd w:val="clear" w:color="auto" w:fill="FFFFFF"/>
        </w:rPr>
        <w:t>Accessed: March 6, 2023</w:t>
      </w:r>
      <w:r w:rsidRPr="00417F7D">
        <w:rPr>
          <w:rFonts w:cs="Arial"/>
          <w:sz w:val="18"/>
          <w:szCs w:val="18"/>
          <w:shd w:val="clear" w:color="auto" w:fill="FFFFFF"/>
        </w:rPr>
        <w:t>.</w:t>
      </w:r>
    </w:p>
    <w:p w14:paraId="512C1E6D" w14:textId="77777777" w:rsidR="007B240B"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IPD Analytics. New Drug Review: Skyclarys (</w:t>
      </w:r>
      <w:r w:rsidRPr="001C3483">
        <w:rPr>
          <w:rFonts w:cs="Arial"/>
          <w:sz w:val="18"/>
          <w:szCs w:val="18"/>
          <w:shd w:val="clear" w:color="auto" w:fill="FFFFFF"/>
        </w:rPr>
        <w:t>omaveloxolone</w:t>
      </w:r>
      <w:r>
        <w:rPr>
          <w:rFonts w:cs="Arial"/>
          <w:sz w:val="18"/>
          <w:szCs w:val="18"/>
          <w:shd w:val="clear" w:color="auto" w:fill="FFFFFF"/>
        </w:rPr>
        <w:t xml:space="preserve">). Published: </w:t>
      </w:r>
      <w:r w:rsidRPr="00935D8C">
        <w:rPr>
          <w:rFonts w:cs="Arial"/>
          <w:sz w:val="18"/>
          <w:szCs w:val="18"/>
          <w:shd w:val="clear" w:color="auto" w:fill="FFFFFF"/>
        </w:rPr>
        <w:t>March 2023</w:t>
      </w:r>
      <w:r>
        <w:rPr>
          <w:rFonts w:cs="Arial"/>
          <w:sz w:val="18"/>
          <w:szCs w:val="18"/>
          <w:shd w:val="clear" w:color="auto" w:fill="FFFFFF"/>
        </w:rPr>
        <w:t>. Accessed: March 6, 2023</w:t>
      </w:r>
      <w:r w:rsidRPr="00417F7D">
        <w:rPr>
          <w:rFonts w:cs="Arial"/>
          <w:sz w:val="18"/>
          <w:szCs w:val="18"/>
          <w:shd w:val="clear" w:color="auto" w:fill="FFFFFF"/>
        </w:rPr>
        <w:t>.</w:t>
      </w:r>
    </w:p>
    <w:p w14:paraId="24981763" w14:textId="705F7F30" w:rsidR="007B240B" w:rsidRPr="00417F7D" w:rsidRDefault="007B240B" w:rsidP="001E676B">
      <w:pPr>
        <w:pStyle w:val="ListParagraph"/>
        <w:numPr>
          <w:ilvl w:val="0"/>
          <w:numId w:val="9"/>
        </w:numPr>
        <w:spacing w:after="200" w:line="276" w:lineRule="auto"/>
        <w:rPr>
          <w:rFonts w:cs="Arial"/>
          <w:sz w:val="18"/>
          <w:szCs w:val="18"/>
          <w:shd w:val="clear" w:color="auto" w:fill="FFFFFF"/>
        </w:rPr>
      </w:pPr>
      <w:r w:rsidRPr="00417F7D">
        <w:rPr>
          <w:rFonts w:cs="Arial"/>
          <w:sz w:val="18"/>
          <w:szCs w:val="18"/>
          <w:shd w:val="clear" w:color="auto" w:fill="FFFFFF"/>
        </w:rPr>
        <w:t>Na</w:t>
      </w:r>
      <w:r>
        <w:rPr>
          <w:rFonts w:cs="Arial"/>
          <w:sz w:val="18"/>
          <w:szCs w:val="18"/>
          <w:shd w:val="clear" w:color="auto" w:fill="FFFFFF"/>
        </w:rPr>
        <w:t>tional Library of Medicine</w:t>
      </w:r>
      <w:r w:rsidRPr="00417F7D">
        <w:rPr>
          <w:rFonts w:cs="Arial"/>
          <w:sz w:val="18"/>
          <w:szCs w:val="18"/>
          <w:shd w:val="clear" w:color="auto" w:fill="FFFFFF"/>
        </w:rPr>
        <w:t xml:space="preserve">. </w:t>
      </w:r>
      <w:r w:rsidRPr="00542194">
        <w:rPr>
          <w:rFonts w:cs="Arial"/>
          <w:sz w:val="18"/>
          <w:szCs w:val="18"/>
          <w:shd w:val="clear" w:color="auto" w:fill="FFFFFF"/>
        </w:rPr>
        <w:t>Pharmacological treatments for Friedreich ataxia</w:t>
      </w:r>
      <w:r w:rsidRPr="00417F7D">
        <w:rPr>
          <w:rFonts w:cs="Arial"/>
          <w:sz w:val="18"/>
          <w:szCs w:val="18"/>
          <w:shd w:val="clear" w:color="auto" w:fill="FFFFFF"/>
        </w:rPr>
        <w:t xml:space="preserve">. </w:t>
      </w:r>
      <w:r w:rsidRPr="00542194">
        <w:rPr>
          <w:rFonts w:cs="Arial"/>
          <w:sz w:val="18"/>
          <w:szCs w:val="18"/>
          <w:shd w:val="clear" w:color="auto" w:fill="FFFFFF"/>
        </w:rPr>
        <w:t>https://www.ncbi.nlm.nih.gov/pmc/articles/PMC6457808/</w:t>
      </w:r>
      <w:r w:rsidRPr="00417F7D">
        <w:rPr>
          <w:rFonts w:cs="Arial"/>
          <w:sz w:val="18"/>
          <w:szCs w:val="18"/>
          <w:shd w:val="clear" w:color="auto" w:fill="FFFFFF"/>
        </w:rPr>
        <w:t xml:space="preserve">. </w:t>
      </w:r>
      <w:r>
        <w:rPr>
          <w:rFonts w:cs="Arial"/>
          <w:sz w:val="18"/>
          <w:szCs w:val="18"/>
          <w:shd w:val="clear" w:color="auto" w:fill="FFFFFF"/>
        </w:rPr>
        <w:t>Accessed: March 6, 2023</w:t>
      </w:r>
      <w:r w:rsidRPr="00417F7D">
        <w:rPr>
          <w:rFonts w:cs="Arial"/>
          <w:sz w:val="18"/>
          <w:szCs w:val="18"/>
          <w:shd w:val="clear" w:color="auto" w:fill="FFFFFF"/>
        </w:rPr>
        <w:t>.</w:t>
      </w:r>
      <w:r w:rsidRPr="00A719CB">
        <w:rPr>
          <w:rFonts w:cs="Arial"/>
          <w:sz w:val="18"/>
          <w:szCs w:val="18"/>
          <w:shd w:val="clear" w:color="auto" w:fill="FFFFFF"/>
        </w:rPr>
        <w:t xml:space="preserve"> </w:t>
      </w:r>
    </w:p>
    <w:p w14:paraId="79C5F7FE" w14:textId="7C4EF678" w:rsidR="007B240B" w:rsidRPr="00417F7D" w:rsidRDefault="007B240B" w:rsidP="001E676B">
      <w:pPr>
        <w:pStyle w:val="ListParagraph"/>
        <w:numPr>
          <w:ilvl w:val="0"/>
          <w:numId w:val="9"/>
        </w:numPr>
        <w:spacing w:after="200" w:line="276" w:lineRule="auto"/>
        <w:rPr>
          <w:rFonts w:cs="Arial"/>
          <w:sz w:val="18"/>
          <w:szCs w:val="18"/>
          <w:shd w:val="clear" w:color="auto" w:fill="FFFFFF"/>
        </w:rPr>
      </w:pPr>
      <w:r w:rsidRPr="00AD2C1C">
        <w:rPr>
          <w:rFonts w:cs="Arial"/>
          <w:sz w:val="18"/>
          <w:szCs w:val="18"/>
          <w:shd w:val="clear" w:color="auto" w:fill="FFFFFF"/>
        </w:rPr>
        <w:lastRenderedPageBreak/>
        <w:t>Simon</w:t>
      </w:r>
      <w:r>
        <w:rPr>
          <w:rFonts w:cs="Arial"/>
          <w:sz w:val="18"/>
          <w:szCs w:val="18"/>
          <w:shd w:val="clear" w:color="auto" w:fill="FFFFFF"/>
        </w:rPr>
        <w:t>,</w:t>
      </w:r>
      <w:r w:rsidRPr="00AD2C1C">
        <w:rPr>
          <w:rFonts w:cs="Arial"/>
          <w:sz w:val="18"/>
          <w:szCs w:val="18"/>
          <w:shd w:val="clear" w:color="auto" w:fill="FFFFFF"/>
        </w:rPr>
        <w:t xml:space="preserve"> A</w:t>
      </w:r>
      <w:r>
        <w:rPr>
          <w:rFonts w:cs="Arial"/>
          <w:sz w:val="18"/>
          <w:szCs w:val="18"/>
          <w:shd w:val="clear" w:color="auto" w:fill="FFFFFF"/>
        </w:rPr>
        <w:t xml:space="preserve"> et. al</w:t>
      </w:r>
      <w:r w:rsidRPr="00417F7D">
        <w:rPr>
          <w:rFonts w:cs="Arial"/>
          <w:sz w:val="18"/>
          <w:szCs w:val="18"/>
          <w:shd w:val="clear" w:color="auto" w:fill="FFFFFF"/>
        </w:rPr>
        <w:t xml:space="preserve">. </w:t>
      </w:r>
      <w:r w:rsidRPr="00AD2C1C">
        <w:rPr>
          <w:rFonts w:cs="Arial"/>
          <w:sz w:val="18"/>
          <w:szCs w:val="18"/>
          <w:shd w:val="clear" w:color="auto" w:fill="FFFFFF"/>
        </w:rPr>
        <w:t>Effect of Pioglitazone Administered to Patients With Friedreich's Ataxia: Proof of Concept (ACTFRIE)</w:t>
      </w:r>
      <w:r w:rsidRPr="00417F7D">
        <w:rPr>
          <w:rFonts w:cs="Arial"/>
          <w:sz w:val="18"/>
          <w:szCs w:val="18"/>
          <w:shd w:val="clear" w:color="auto" w:fill="FFFFFF"/>
        </w:rPr>
        <w:t xml:space="preserve">. </w:t>
      </w:r>
      <w:r>
        <w:rPr>
          <w:rFonts w:cs="Arial"/>
          <w:sz w:val="18"/>
          <w:szCs w:val="18"/>
          <w:shd w:val="clear" w:color="auto" w:fill="FFFFFF"/>
        </w:rPr>
        <w:t>U.S. National Library of Medicine</w:t>
      </w:r>
      <w:r w:rsidRPr="00417F7D">
        <w:rPr>
          <w:rFonts w:cs="Arial"/>
          <w:sz w:val="18"/>
          <w:szCs w:val="18"/>
          <w:shd w:val="clear" w:color="auto" w:fill="FFFFFF"/>
        </w:rPr>
        <w:t xml:space="preserve">. </w:t>
      </w:r>
      <w:r w:rsidRPr="00AD2C1C">
        <w:rPr>
          <w:rFonts w:cs="Arial"/>
          <w:sz w:val="18"/>
          <w:szCs w:val="18"/>
          <w:shd w:val="clear" w:color="auto" w:fill="FFFFFF"/>
        </w:rPr>
        <w:t>https://clinicaltrials.gov/ct2/show/study/NCT00811681</w:t>
      </w:r>
      <w:r w:rsidRPr="00417F7D">
        <w:rPr>
          <w:rFonts w:cs="Arial"/>
          <w:sz w:val="18"/>
          <w:szCs w:val="18"/>
          <w:shd w:val="clear" w:color="auto" w:fill="FFFFFF"/>
        </w:rPr>
        <w:t xml:space="preserve">. </w:t>
      </w:r>
      <w:r w:rsidRPr="00AD2C1C">
        <w:rPr>
          <w:rFonts w:cs="Arial"/>
          <w:sz w:val="18"/>
          <w:szCs w:val="18"/>
          <w:shd w:val="clear" w:color="auto" w:fill="FFFFFF"/>
        </w:rPr>
        <w:t>September 4, 2013</w:t>
      </w:r>
      <w:r w:rsidRPr="00417F7D">
        <w:rPr>
          <w:rFonts w:cs="Arial"/>
          <w:sz w:val="18"/>
          <w:szCs w:val="18"/>
          <w:shd w:val="clear" w:color="auto" w:fill="FFFFFF"/>
        </w:rPr>
        <w:t xml:space="preserve">. </w:t>
      </w:r>
      <w:r w:rsidRPr="00AD2C1C">
        <w:rPr>
          <w:rFonts w:cs="Arial"/>
          <w:sz w:val="18"/>
          <w:szCs w:val="18"/>
          <w:shd w:val="clear" w:color="auto" w:fill="FFFFFF"/>
        </w:rPr>
        <w:t>Accessed: March 10,</w:t>
      </w:r>
      <w:r>
        <w:rPr>
          <w:rFonts w:cs="Arial"/>
          <w:sz w:val="18"/>
          <w:szCs w:val="18"/>
          <w:shd w:val="clear" w:color="auto" w:fill="FFFFFF"/>
        </w:rPr>
        <w:t xml:space="preserve"> </w:t>
      </w:r>
      <w:r w:rsidRPr="00AD2C1C">
        <w:rPr>
          <w:rFonts w:cs="Arial"/>
          <w:sz w:val="18"/>
          <w:szCs w:val="18"/>
          <w:shd w:val="clear" w:color="auto" w:fill="FFFFFF"/>
        </w:rPr>
        <w:t>2023</w:t>
      </w:r>
      <w:r w:rsidRPr="00417F7D">
        <w:rPr>
          <w:rFonts w:cs="Arial"/>
          <w:sz w:val="18"/>
          <w:szCs w:val="18"/>
          <w:shd w:val="clear" w:color="auto" w:fill="FFFFFF"/>
        </w:rPr>
        <w:t>.</w:t>
      </w:r>
    </w:p>
    <w:p w14:paraId="3AC7D2F8" w14:textId="5ACEF5F5" w:rsidR="007B240B"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Corona, J and Duchen, M</w:t>
      </w:r>
      <w:r w:rsidRPr="00417F7D">
        <w:rPr>
          <w:rFonts w:cs="Arial"/>
          <w:sz w:val="18"/>
          <w:szCs w:val="18"/>
          <w:shd w:val="clear" w:color="auto" w:fill="FFFFFF"/>
        </w:rPr>
        <w:t xml:space="preserve">. </w:t>
      </w:r>
      <w:r w:rsidRPr="00AD2C1C">
        <w:rPr>
          <w:rFonts w:cs="Arial"/>
          <w:sz w:val="18"/>
          <w:szCs w:val="18"/>
          <w:shd w:val="clear" w:color="auto" w:fill="FFFFFF"/>
        </w:rPr>
        <w:t>PPARγ as a therapeutic target to rescue mitochondrial function in neurological disease</w:t>
      </w:r>
      <w:r w:rsidRPr="00417F7D">
        <w:rPr>
          <w:rFonts w:cs="Arial"/>
          <w:sz w:val="18"/>
          <w:szCs w:val="18"/>
          <w:shd w:val="clear" w:color="auto" w:fill="FFFFFF"/>
        </w:rPr>
        <w:t xml:space="preserve">. </w:t>
      </w:r>
      <w:r>
        <w:rPr>
          <w:rFonts w:cs="Arial"/>
          <w:sz w:val="18"/>
          <w:szCs w:val="18"/>
          <w:shd w:val="clear" w:color="auto" w:fill="FFFFFF"/>
        </w:rPr>
        <w:t>Elsevier, ScienceDirect</w:t>
      </w:r>
      <w:r w:rsidRPr="00417F7D">
        <w:rPr>
          <w:rFonts w:cs="Arial"/>
          <w:sz w:val="18"/>
          <w:szCs w:val="18"/>
          <w:shd w:val="clear" w:color="auto" w:fill="FFFFFF"/>
        </w:rPr>
        <w:t xml:space="preserve">. </w:t>
      </w:r>
      <w:r w:rsidRPr="00AD2C1C">
        <w:rPr>
          <w:rFonts w:cs="Arial"/>
          <w:sz w:val="18"/>
          <w:szCs w:val="18"/>
          <w:shd w:val="clear" w:color="auto" w:fill="FFFFFF"/>
        </w:rPr>
        <w:t>https://www.sciencedirect.com/science/article/pii/S0891584916303112?via%3Dihub</w:t>
      </w:r>
      <w:r w:rsidRPr="00417F7D">
        <w:rPr>
          <w:rFonts w:cs="Arial"/>
          <w:sz w:val="18"/>
          <w:szCs w:val="18"/>
          <w:shd w:val="clear" w:color="auto" w:fill="FFFFFF"/>
        </w:rPr>
        <w:t xml:space="preserve">. </w:t>
      </w:r>
      <w:r w:rsidRPr="00AD2C1C">
        <w:rPr>
          <w:rFonts w:cs="Arial"/>
          <w:sz w:val="18"/>
          <w:szCs w:val="18"/>
          <w:shd w:val="clear" w:color="auto" w:fill="FFFFFF"/>
        </w:rPr>
        <w:t>November 2016</w:t>
      </w:r>
      <w:r w:rsidRPr="00417F7D">
        <w:rPr>
          <w:rFonts w:cs="Arial"/>
          <w:sz w:val="18"/>
          <w:szCs w:val="18"/>
          <w:shd w:val="clear" w:color="auto" w:fill="FFFFFF"/>
        </w:rPr>
        <w:t xml:space="preserve">. </w:t>
      </w:r>
      <w:r w:rsidRPr="00AD2C1C">
        <w:rPr>
          <w:rFonts w:cs="Arial"/>
          <w:sz w:val="18"/>
          <w:szCs w:val="18"/>
          <w:shd w:val="clear" w:color="auto" w:fill="FFFFFF"/>
        </w:rPr>
        <w:t>Accessed: March 10,</w:t>
      </w:r>
      <w:r>
        <w:rPr>
          <w:rFonts w:cs="Arial"/>
          <w:sz w:val="18"/>
          <w:szCs w:val="18"/>
          <w:shd w:val="clear" w:color="auto" w:fill="FFFFFF"/>
        </w:rPr>
        <w:t xml:space="preserve"> </w:t>
      </w:r>
      <w:r w:rsidRPr="00AD2C1C">
        <w:rPr>
          <w:rFonts w:cs="Arial"/>
          <w:sz w:val="18"/>
          <w:szCs w:val="18"/>
          <w:shd w:val="clear" w:color="auto" w:fill="FFFFFF"/>
        </w:rPr>
        <w:t>2023</w:t>
      </w:r>
      <w:r w:rsidRPr="00417F7D">
        <w:rPr>
          <w:rFonts w:cs="Arial"/>
          <w:sz w:val="18"/>
          <w:szCs w:val="18"/>
          <w:shd w:val="clear" w:color="auto" w:fill="FFFFFF"/>
        </w:rPr>
        <w:t>.</w:t>
      </w:r>
    </w:p>
    <w:p w14:paraId="1EF54C23" w14:textId="014D43D8" w:rsidR="007B240B" w:rsidRDefault="007B240B" w:rsidP="001E676B">
      <w:pPr>
        <w:pStyle w:val="ListParagraph"/>
        <w:numPr>
          <w:ilvl w:val="0"/>
          <w:numId w:val="9"/>
        </w:numPr>
        <w:spacing w:after="200" w:line="276" w:lineRule="auto"/>
        <w:rPr>
          <w:rFonts w:cs="Arial"/>
          <w:sz w:val="18"/>
          <w:szCs w:val="18"/>
          <w:shd w:val="clear" w:color="auto" w:fill="FFFFFF"/>
        </w:rPr>
      </w:pPr>
      <w:r w:rsidRPr="00AD2C1C">
        <w:rPr>
          <w:rFonts w:cs="Arial"/>
          <w:sz w:val="18"/>
          <w:szCs w:val="18"/>
          <w:shd w:val="clear" w:color="auto" w:fill="FFFFFF"/>
        </w:rPr>
        <w:t>Gomez-Casati</w:t>
      </w:r>
      <w:r>
        <w:rPr>
          <w:rFonts w:cs="Arial"/>
          <w:sz w:val="18"/>
          <w:szCs w:val="18"/>
          <w:shd w:val="clear" w:color="auto" w:fill="FFFFFF"/>
        </w:rPr>
        <w:t>, D</w:t>
      </w:r>
      <w:r w:rsidRPr="00417F7D">
        <w:rPr>
          <w:rFonts w:cs="Arial"/>
          <w:sz w:val="18"/>
          <w:szCs w:val="18"/>
          <w:shd w:val="clear" w:color="auto" w:fill="FFFFFF"/>
        </w:rPr>
        <w:t xml:space="preserve">. </w:t>
      </w:r>
      <w:r w:rsidRPr="00AD2C1C">
        <w:rPr>
          <w:rFonts w:cs="Arial"/>
          <w:sz w:val="18"/>
          <w:szCs w:val="18"/>
          <w:shd w:val="clear" w:color="auto" w:fill="FFFFFF"/>
        </w:rPr>
        <w:t>Dimethyl fumarate dosing in humans increases frataxin expression: A potential therapy for Friedreich’s Ataxia</w:t>
      </w:r>
      <w:r w:rsidRPr="00417F7D">
        <w:rPr>
          <w:rFonts w:cs="Arial"/>
          <w:sz w:val="18"/>
          <w:szCs w:val="18"/>
          <w:shd w:val="clear" w:color="auto" w:fill="FFFFFF"/>
        </w:rPr>
        <w:t xml:space="preserve">. </w:t>
      </w:r>
      <w:r>
        <w:rPr>
          <w:rFonts w:cs="Arial"/>
          <w:sz w:val="18"/>
          <w:szCs w:val="18"/>
          <w:shd w:val="clear" w:color="auto" w:fill="FFFFFF"/>
        </w:rPr>
        <w:t>National Library of Medicine</w:t>
      </w:r>
      <w:r w:rsidRPr="00417F7D">
        <w:rPr>
          <w:rFonts w:cs="Arial"/>
          <w:sz w:val="18"/>
          <w:szCs w:val="18"/>
          <w:shd w:val="clear" w:color="auto" w:fill="FFFFFF"/>
        </w:rPr>
        <w:t xml:space="preserve">. </w:t>
      </w:r>
      <w:r w:rsidRPr="00AD2C1C">
        <w:rPr>
          <w:rFonts w:cs="Arial"/>
          <w:sz w:val="18"/>
          <w:szCs w:val="18"/>
          <w:shd w:val="clear" w:color="auto" w:fill="FFFFFF"/>
        </w:rPr>
        <w:t>https://www.ncbi.nlm.nih.gov/pmc/articles/PMC6546270/</w:t>
      </w:r>
      <w:r w:rsidRPr="00417F7D">
        <w:rPr>
          <w:rFonts w:cs="Arial"/>
          <w:sz w:val="18"/>
          <w:szCs w:val="18"/>
          <w:shd w:val="clear" w:color="auto" w:fill="FFFFFF"/>
        </w:rPr>
        <w:t xml:space="preserve">. </w:t>
      </w:r>
      <w:r>
        <w:rPr>
          <w:rFonts w:cs="Arial"/>
          <w:sz w:val="18"/>
          <w:szCs w:val="18"/>
          <w:shd w:val="clear" w:color="auto" w:fill="FFFFFF"/>
        </w:rPr>
        <w:t>June 3 ,2019</w:t>
      </w:r>
      <w:r w:rsidRPr="00417F7D">
        <w:rPr>
          <w:rFonts w:cs="Arial"/>
          <w:sz w:val="18"/>
          <w:szCs w:val="18"/>
          <w:shd w:val="clear" w:color="auto" w:fill="FFFFFF"/>
        </w:rPr>
        <w:t xml:space="preserve">. </w:t>
      </w:r>
      <w:r w:rsidRPr="00A719CB">
        <w:rPr>
          <w:rFonts w:cs="Arial"/>
          <w:sz w:val="18"/>
          <w:szCs w:val="18"/>
          <w:shd w:val="clear" w:color="auto" w:fill="FFFFFF"/>
        </w:rPr>
        <w:t>Accessed: March 10, 2023.</w:t>
      </w:r>
    </w:p>
    <w:p w14:paraId="43769E9A" w14:textId="3B57322C" w:rsidR="007B240B"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Drugbank Online</w:t>
      </w:r>
      <w:r w:rsidRPr="00417F7D">
        <w:rPr>
          <w:rFonts w:cs="Arial"/>
          <w:sz w:val="18"/>
          <w:szCs w:val="18"/>
          <w:shd w:val="clear" w:color="auto" w:fill="FFFFFF"/>
        </w:rPr>
        <w:t xml:space="preserve">. </w:t>
      </w:r>
      <w:r>
        <w:rPr>
          <w:rFonts w:cs="Arial"/>
          <w:sz w:val="18"/>
          <w:szCs w:val="18"/>
          <w:shd w:val="clear" w:color="auto" w:fill="FFFFFF"/>
        </w:rPr>
        <w:t>Idebenone</w:t>
      </w:r>
      <w:r w:rsidRPr="00417F7D">
        <w:rPr>
          <w:rFonts w:cs="Arial"/>
          <w:sz w:val="18"/>
          <w:szCs w:val="18"/>
          <w:shd w:val="clear" w:color="auto" w:fill="FFFFFF"/>
        </w:rPr>
        <w:t xml:space="preserve">. </w:t>
      </w:r>
      <w:r w:rsidRPr="00542194">
        <w:rPr>
          <w:rFonts w:cs="Arial"/>
          <w:sz w:val="18"/>
          <w:szCs w:val="18"/>
          <w:shd w:val="clear" w:color="auto" w:fill="FFFFFF"/>
        </w:rPr>
        <w:t>https://go.drugbank.com/drugs/DB09081</w:t>
      </w:r>
      <w:r w:rsidRPr="00417F7D">
        <w:rPr>
          <w:rFonts w:cs="Arial"/>
          <w:sz w:val="18"/>
          <w:szCs w:val="18"/>
          <w:shd w:val="clear" w:color="auto" w:fill="FFFFFF"/>
        </w:rPr>
        <w:t xml:space="preserve">. </w:t>
      </w:r>
      <w:r>
        <w:rPr>
          <w:rFonts w:cs="Arial"/>
          <w:sz w:val="18"/>
          <w:szCs w:val="18"/>
          <w:shd w:val="clear" w:color="auto" w:fill="FFFFFF"/>
        </w:rPr>
        <w:t>Accessed: March 10, 2023</w:t>
      </w:r>
      <w:r w:rsidRPr="00417F7D">
        <w:rPr>
          <w:rFonts w:cs="Arial"/>
          <w:sz w:val="18"/>
          <w:szCs w:val="18"/>
          <w:shd w:val="clear" w:color="auto" w:fill="FFFFFF"/>
        </w:rPr>
        <w:t>.</w:t>
      </w:r>
    </w:p>
    <w:p w14:paraId="38AF4327" w14:textId="3179D18E" w:rsidR="007B240B"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Facts and Comparisons</w:t>
      </w:r>
      <w:r w:rsidRPr="00417F7D">
        <w:rPr>
          <w:rFonts w:cs="Arial"/>
          <w:sz w:val="18"/>
          <w:szCs w:val="18"/>
          <w:shd w:val="clear" w:color="auto" w:fill="FFFFFF"/>
        </w:rPr>
        <w:t xml:space="preserve">. </w:t>
      </w:r>
      <w:r>
        <w:rPr>
          <w:rFonts w:cs="Arial"/>
          <w:sz w:val="18"/>
          <w:szCs w:val="18"/>
          <w:shd w:val="clear" w:color="auto" w:fill="FFFFFF"/>
        </w:rPr>
        <w:t>Vitamin E</w:t>
      </w:r>
      <w:r w:rsidRPr="00417F7D">
        <w:rPr>
          <w:rFonts w:cs="Arial"/>
          <w:sz w:val="18"/>
          <w:szCs w:val="18"/>
          <w:shd w:val="clear" w:color="auto" w:fill="FFFFFF"/>
        </w:rPr>
        <w:t xml:space="preserve">. </w:t>
      </w:r>
      <w:r w:rsidRPr="00A719CB">
        <w:rPr>
          <w:rFonts w:cs="Arial"/>
          <w:sz w:val="18"/>
          <w:szCs w:val="18"/>
          <w:shd w:val="clear" w:color="auto" w:fill="FFFFFF"/>
        </w:rPr>
        <w:t>https://fco.factsandcomparisons.com/lco/action/doc/retrieve/docid/fc_dfc/5548272</w:t>
      </w:r>
      <w:r w:rsidRPr="00417F7D">
        <w:rPr>
          <w:rFonts w:cs="Arial"/>
          <w:sz w:val="18"/>
          <w:szCs w:val="18"/>
          <w:shd w:val="clear" w:color="auto" w:fill="FFFFFF"/>
        </w:rPr>
        <w:t xml:space="preserve">. </w:t>
      </w:r>
      <w:r>
        <w:rPr>
          <w:rFonts w:cs="Arial"/>
          <w:sz w:val="18"/>
          <w:szCs w:val="18"/>
          <w:shd w:val="clear" w:color="auto" w:fill="FFFFFF"/>
        </w:rPr>
        <w:t>October 27, 2022. Accessed: March 10, 2023</w:t>
      </w:r>
      <w:r w:rsidRPr="00417F7D">
        <w:rPr>
          <w:rFonts w:cs="Arial"/>
          <w:sz w:val="18"/>
          <w:szCs w:val="18"/>
          <w:shd w:val="clear" w:color="auto" w:fill="FFFFFF"/>
        </w:rPr>
        <w:t>.</w:t>
      </w:r>
    </w:p>
    <w:p w14:paraId="36AFF467" w14:textId="255FED4F" w:rsidR="007B240B" w:rsidRDefault="007B240B" w:rsidP="001E676B">
      <w:pPr>
        <w:pStyle w:val="ListParagraph"/>
        <w:numPr>
          <w:ilvl w:val="0"/>
          <w:numId w:val="9"/>
        </w:numPr>
        <w:spacing w:after="200" w:line="276" w:lineRule="auto"/>
        <w:rPr>
          <w:rFonts w:cs="Arial"/>
          <w:sz w:val="18"/>
          <w:szCs w:val="18"/>
          <w:shd w:val="clear" w:color="auto" w:fill="FFFFFF"/>
        </w:rPr>
      </w:pPr>
      <w:r w:rsidRPr="00F157DB">
        <w:rPr>
          <w:rFonts w:cs="Arial"/>
          <w:sz w:val="18"/>
          <w:szCs w:val="18"/>
          <w:shd w:val="clear" w:color="auto" w:fill="FFFFFF"/>
        </w:rPr>
        <w:t>Delatycki</w:t>
      </w:r>
      <w:r>
        <w:rPr>
          <w:rFonts w:cs="Arial"/>
          <w:sz w:val="18"/>
          <w:szCs w:val="18"/>
          <w:shd w:val="clear" w:color="auto" w:fill="FFFFFF"/>
        </w:rPr>
        <w:t>, M</w:t>
      </w:r>
      <w:r w:rsidRPr="00417F7D">
        <w:rPr>
          <w:rFonts w:cs="Arial"/>
          <w:sz w:val="18"/>
          <w:szCs w:val="18"/>
          <w:shd w:val="clear" w:color="auto" w:fill="FFFFFF"/>
        </w:rPr>
        <w:t xml:space="preserve">. </w:t>
      </w:r>
      <w:r w:rsidRPr="00F157DB">
        <w:rPr>
          <w:rFonts w:cs="Arial"/>
          <w:sz w:val="18"/>
          <w:szCs w:val="18"/>
          <w:shd w:val="clear" w:color="auto" w:fill="FFFFFF"/>
        </w:rPr>
        <w:t>A Study of Resveratrol as Treatment for Friedreich Ataxia</w:t>
      </w:r>
      <w:r w:rsidRPr="00417F7D">
        <w:rPr>
          <w:rFonts w:cs="Arial"/>
          <w:sz w:val="18"/>
          <w:szCs w:val="18"/>
          <w:shd w:val="clear" w:color="auto" w:fill="FFFFFF"/>
        </w:rPr>
        <w:t xml:space="preserve">. </w:t>
      </w:r>
      <w:r>
        <w:rPr>
          <w:rFonts w:cs="Arial"/>
          <w:sz w:val="18"/>
          <w:szCs w:val="18"/>
          <w:shd w:val="clear" w:color="auto" w:fill="FFFFFF"/>
        </w:rPr>
        <w:t>U.S. National Library of Medicine</w:t>
      </w:r>
      <w:r w:rsidRPr="00417F7D">
        <w:rPr>
          <w:rFonts w:cs="Arial"/>
          <w:sz w:val="18"/>
          <w:szCs w:val="18"/>
          <w:shd w:val="clear" w:color="auto" w:fill="FFFFFF"/>
        </w:rPr>
        <w:t xml:space="preserve">. </w:t>
      </w:r>
      <w:r w:rsidRPr="00F157DB">
        <w:rPr>
          <w:rFonts w:cs="Arial"/>
          <w:sz w:val="18"/>
          <w:szCs w:val="18"/>
          <w:shd w:val="clear" w:color="auto" w:fill="FFFFFF"/>
        </w:rPr>
        <w:t>https://clinicaltrials.gov/ct2/show/NCT01339884</w:t>
      </w:r>
      <w:r w:rsidRPr="00417F7D">
        <w:rPr>
          <w:rFonts w:cs="Arial"/>
          <w:sz w:val="18"/>
          <w:szCs w:val="18"/>
          <w:shd w:val="clear" w:color="auto" w:fill="FFFFFF"/>
        </w:rPr>
        <w:t xml:space="preserve">. </w:t>
      </w:r>
      <w:r w:rsidRPr="00F157DB">
        <w:rPr>
          <w:rFonts w:cs="Arial"/>
          <w:sz w:val="18"/>
          <w:szCs w:val="18"/>
          <w:shd w:val="clear" w:color="auto" w:fill="FFFFFF"/>
        </w:rPr>
        <w:t>January 22, 2014</w:t>
      </w:r>
      <w:r w:rsidRPr="00417F7D">
        <w:rPr>
          <w:rFonts w:cs="Arial"/>
          <w:sz w:val="18"/>
          <w:szCs w:val="18"/>
          <w:shd w:val="clear" w:color="auto" w:fill="FFFFFF"/>
        </w:rPr>
        <w:t xml:space="preserve">. </w:t>
      </w:r>
      <w:r w:rsidRPr="00AD2C1C">
        <w:rPr>
          <w:rFonts w:cs="Arial"/>
          <w:sz w:val="18"/>
          <w:szCs w:val="18"/>
          <w:shd w:val="clear" w:color="auto" w:fill="FFFFFF"/>
        </w:rPr>
        <w:t>Accessed: March 10,</w:t>
      </w:r>
      <w:r>
        <w:rPr>
          <w:rFonts w:cs="Arial"/>
          <w:sz w:val="18"/>
          <w:szCs w:val="18"/>
          <w:shd w:val="clear" w:color="auto" w:fill="FFFFFF"/>
        </w:rPr>
        <w:t xml:space="preserve"> </w:t>
      </w:r>
      <w:r w:rsidRPr="00AD2C1C">
        <w:rPr>
          <w:rFonts w:cs="Arial"/>
          <w:sz w:val="18"/>
          <w:szCs w:val="18"/>
          <w:shd w:val="clear" w:color="auto" w:fill="FFFFFF"/>
        </w:rPr>
        <w:t>2023</w:t>
      </w:r>
      <w:r w:rsidRPr="00417F7D">
        <w:rPr>
          <w:rFonts w:cs="Arial"/>
          <w:sz w:val="18"/>
          <w:szCs w:val="18"/>
          <w:shd w:val="clear" w:color="auto" w:fill="FFFFFF"/>
        </w:rPr>
        <w:t>.</w:t>
      </w:r>
    </w:p>
    <w:p w14:paraId="173FE6F7" w14:textId="2D628E0C" w:rsidR="007B240B"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Edison Pharmaceuticals</w:t>
      </w:r>
      <w:r w:rsidRPr="00417F7D">
        <w:rPr>
          <w:rFonts w:cs="Arial"/>
          <w:sz w:val="18"/>
          <w:szCs w:val="18"/>
          <w:shd w:val="clear" w:color="auto" w:fill="FFFFFF"/>
        </w:rPr>
        <w:t xml:space="preserve">. </w:t>
      </w:r>
      <w:r w:rsidRPr="004134D1">
        <w:rPr>
          <w:rFonts w:cs="Arial"/>
          <w:sz w:val="18"/>
          <w:szCs w:val="18"/>
          <w:shd w:val="clear" w:color="auto" w:fill="FFFFFF"/>
          <w:lang w:val="it-IT"/>
        </w:rPr>
        <w:t xml:space="preserve">Vatiquinone. https://newdrugapprovals.org/tag/vatiquinone/. </w:t>
      </w:r>
      <w:r w:rsidRPr="00F157DB">
        <w:rPr>
          <w:rFonts w:ascii="Helvetica" w:hAnsi="Helvetica" w:cs="Helvetica"/>
          <w:color w:val="333333"/>
          <w:sz w:val="18"/>
          <w:szCs w:val="18"/>
          <w:shd w:val="clear" w:color="auto" w:fill="FFFFFF"/>
        </w:rPr>
        <w:t>February</w:t>
      </w:r>
      <w:r>
        <w:rPr>
          <w:rFonts w:ascii="Helvetica" w:hAnsi="Helvetica" w:cs="Helvetica"/>
          <w:color w:val="333333"/>
          <w:sz w:val="18"/>
          <w:szCs w:val="18"/>
          <w:shd w:val="clear" w:color="auto" w:fill="FFFFFF"/>
        </w:rPr>
        <w:t xml:space="preserve"> 19,</w:t>
      </w:r>
      <w:r w:rsidRPr="00F157DB">
        <w:rPr>
          <w:rFonts w:ascii="Helvetica" w:hAnsi="Helvetica" w:cs="Helvetica"/>
          <w:color w:val="333333"/>
          <w:sz w:val="18"/>
          <w:szCs w:val="18"/>
          <w:shd w:val="clear" w:color="auto" w:fill="FFFFFF"/>
        </w:rPr>
        <w:t xml:space="preserve"> 2013. Accessed: March 10, 2023</w:t>
      </w:r>
      <w:r w:rsidRPr="00417F7D">
        <w:rPr>
          <w:rFonts w:cs="Arial"/>
          <w:sz w:val="18"/>
          <w:szCs w:val="18"/>
          <w:shd w:val="clear" w:color="auto" w:fill="FFFFFF"/>
        </w:rPr>
        <w:t>.</w:t>
      </w:r>
    </w:p>
    <w:p w14:paraId="098C5984" w14:textId="7C1E5D2A" w:rsidR="007B240B" w:rsidRDefault="007B240B" w:rsidP="001E676B">
      <w:pPr>
        <w:pStyle w:val="ListParagraph"/>
        <w:numPr>
          <w:ilvl w:val="0"/>
          <w:numId w:val="9"/>
        </w:numPr>
        <w:spacing w:after="200" w:line="276" w:lineRule="auto"/>
        <w:rPr>
          <w:rFonts w:cs="Arial"/>
          <w:sz w:val="18"/>
          <w:szCs w:val="18"/>
          <w:shd w:val="clear" w:color="auto" w:fill="FFFFFF"/>
        </w:rPr>
      </w:pPr>
      <w:r w:rsidRPr="00ED5956">
        <w:rPr>
          <w:rFonts w:cs="Arial"/>
          <w:sz w:val="18"/>
          <w:szCs w:val="18"/>
          <w:shd w:val="clear" w:color="auto" w:fill="FFFFFF"/>
        </w:rPr>
        <w:t>Turovsky,</w:t>
      </w:r>
      <w:r>
        <w:rPr>
          <w:rFonts w:cs="Arial"/>
          <w:sz w:val="18"/>
          <w:szCs w:val="18"/>
          <w:shd w:val="clear" w:color="auto" w:fill="FFFFFF"/>
        </w:rPr>
        <w:t xml:space="preserve"> E, et al</w:t>
      </w:r>
      <w:r w:rsidRPr="00417F7D">
        <w:rPr>
          <w:rFonts w:cs="Arial"/>
          <w:sz w:val="18"/>
          <w:szCs w:val="18"/>
          <w:shd w:val="clear" w:color="auto" w:fill="FFFFFF"/>
        </w:rPr>
        <w:t xml:space="preserve">. </w:t>
      </w:r>
      <w:r w:rsidRPr="00ED5956">
        <w:rPr>
          <w:rFonts w:cs="Arial"/>
          <w:sz w:val="18"/>
          <w:szCs w:val="18"/>
          <w:shd w:val="clear" w:color="auto" w:fill="FFFFFF"/>
        </w:rPr>
        <w:t>The Protective Mechanism of Deuterated Linoleic Acid Involves the Activation of the Ca2+ Signaling System of Astrocytes in Ischemia In Vitro</w:t>
      </w:r>
      <w:r w:rsidRPr="00417F7D">
        <w:rPr>
          <w:rFonts w:cs="Arial"/>
          <w:sz w:val="18"/>
          <w:szCs w:val="18"/>
          <w:shd w:val="clear" w:color="auto" w:fill="FFFFFF"/>
        </w:rPr>
        <w:t xml:space="preserve">. </w:t>
      </w:r>
      <w:r>
        <w:rPr>
          <w:rFonts w:cs="Arial"/>
          <w:sz w:val="18"/>
          <w:szCs w:val="18"/>
          <w:shd w:val="clear" w:color="auto" w:fill="FFFFFF"/>
        </w:rPr>
        <w:t>National Library of Medicine</w:t>
      </w:r>
      <w:r w:rsidRPr="00417F7D">
        <w:rPr>
          <w:rFonts w:cs="Arial"/>
          <w:sz w:val="18"/>
          <w:szCs w:val="18"/>
          <w:shd w:val="clear" w:color="auto" w:fill="FFFFFF"/>
        </w:rPr>
        <w:t xml:space="preserve">. </w:t>
      </w:r>
      <w:r w:rsidRPr="00ED5956">
        <w:rPr>
          <w:rFonts w:cs="Arial"/>
          <w:sz w:val="18"/>
          <w:szCs w:val="18"/>
          <w:shd w:val="clear" w:color="auto" w:fill="FFFFFF"/>
        </w:rPr>
        <w:t>https://www.ncbi.nlm.nih.gov/pmc/articles/PMC8706680/</w:t>
      </w:r>
      <w:r w:rsidRPr="00417F7D">
        <w:rPr>
          <w:rFonts w:cs="Arial"/>
          <w:sz w:val="18"/>
          <w:szCs w:val="18"/>
          <w:shd w:val="clear" w:color="auto" w:fill="FFFFFF"/>
        </w:rPr>
        <w:t xml:space="preserve">. </w:t>
      </w:r>
      <w:r>
        <w:rPr>
          <w:rFonts w:cs="Arial"/>
          <w:sz w:val="18"/>
          <w:szCs w:val="18"/>
          <w:shd w:val="clear" w:color="auto" w:fill="FFFFFF"/>
        </w:rPr>
        <w:t>December 8</w:t>
      </w:r>
      <w:r w:rsidRPr="00F157DB">
        <w:rPr>
          <w:rFonts w:cs="Arial"/>
          <w:sz w:val="18"/>
          <w:szCs w:val="18"/>
          <w:shd w:val="clear" w:color="auto" w:fill="FFFFFF"/>
        </w:rPr>
        <w:t>, 20</w:t>
      </w:r>
      <w:r>
        <w:rPr>
          <w:rFonts w:cs="Arial"/>
          <w:sz w:val="18"/>
          <w:szCs w:val="18"/>
          <w:shd w:val="clear" w:color="auto" w:fill="FFFFFF"/>
        </w:rPr>
        <w:t>21</w:t>
      </w:r>
      <w:r w:rsidRPr="00417F7D">
        <w:rPr>
          <w:rFonts w:cs="Arial"/>
          <w:sz w:val="18"/>
          <w:szCs w:val="18"/>
          <w:shd w:val="clear" w:color="auto" w:fill="FFFFFF"/>
        </w:rPr>
        <w:t xml:space="preserve">. </w:t>
      </w:r>
      <w:r w:rsidRPr="00AD2C1C">
        <w:rPr>
          <w:rFonts w:cs="Arial"/>
          <w:sz w:val="18"/>
          <w:szCs w:val="18"/>
          <w:shd w:val="clear" w:color="auto" w:fill="FFFFFF"/>
        </w:rPr>
        <w:t>Accessed: March 10,</w:t>
      </w:r>
      <w:r>
        <w:rPr>
          <w:rFonts w:cs="Arial"/>
          <w:sz w:val="18"/>
          <w:szCs w:val="18"/>
          <w:shd w:val="clear" w:color="auto" w:fill="FFFFFF"/>
        </w:rPr>
        <w:t xml:space="preserve"> </w:t>
      </w:r>
      <w:r w:rsidRPr="00AD2C1C">
        <w:rPr>
          <w:rFonts w:cs="Arial"/>
          <w:sz w:val="18"/>
          <w:szCs w:val="18"/>
          <w:shd w:val="clear" w:color="auto" w:fill="FFFFFF"/>
        </w:rPr>
        <w:t>2023</w:t>
      </w:r>
      <w:r w:rsidRPr="00417F7D">
        <w:rPr>
          <w:rFonts w:cs="Arial"/>
          <w:sz w:val="18"/>
          <w:szCs w:val="18"/>
          <w:shd w:val="clear" w:color="auto" w:fill="FFFFFF"/>
        </w:rPr>
        <w:t>.</w:t>
      </w:r>
    </w:p>
    <w:p w14:paraId="6852D0E0" w14:textId="77777777" w:rsidR="007B240B" w:rsidRPr="00280379" w:rsidRDefault="007B240B" w:rsidP="001E676B">
      <w:pPr>
        <w:pStyle w:val="ListParagraph"/>
        <w:numPr>
          <w:ilvl w:val="0"/>
          <w:numId w:val="9"/>
        </w:numPr>
        <w:spacing w:after="200" w:line="276" w:lineRule="auto"/>
        <w:rPr>
          <w:rFonts w:cs="Arial"/>
          <w:sz w:val="18"/>
          <w:szCs w:val="18"/>
          <w:shd w:val="clear" w:color="auto" w:fill="FFFFFF"/>
        </w:rPr>
      </w:pPr>
      <w:r w:rsidRPr="00280379">
        <w:rPr>
          <w:rFonts w:cs="Arial"/>
          <w:sz w:val="18"/>
          <w:szCs w:val="18"/>
          <w:shd w:val="clear" w:color="auto" w:fill="FFFFFF"/>
        </w:rPr>
        <w:t>Oh-Park, M, et al. Musculoskeletal Medicine: Pes Cavus. PM&amp;R Knowledge Now. https://now.aapmr.org/pes-cavus/#disease/-disorder. September 15, 2015. Accessed March 23, 2023.</w:t>
      </w:r>
    </w:p>
    <w:p w14:paraId="4C241CDB" w14:textId="77777777" w:rsidR="007B240B" w:rsidRDefault="007B240B" w:rsidP="001E676B">
      <w:pPr>
        <w:pStyle w:val="ListParagraph"/>
        <w:numPr>
          <w:ilvl w:val="0"/>
          <w:numId w:val="9"/>
        </w:numPr>
        <w:spacing w:after="200" w:line="276" w:lineRule="auto"/>
        <w:rPr>
          <w:rFonts w:cs="Arial"/>
          <w:sz w:val="18"/>
          <w:szCs w:val="18"/>
          <w:shd w:val="clear" w:color="auto" w:fill="FFFFFF"/>
        </w:rPr>
      </w:pPr>
      <w:r w:rsidRPr="00280379">
        <w:rPr>
          <w:rFonts w:cs="Arial"/>
          <w:sz w:val="18"/>
          <w:szCs w:val="18"/>
          <w:shd w:val="clear" w:color="auto" w:fill="FFFFFF"/>
        </w:rPr>
        <w:t>Delaycki, M, et al. Clinical Features of Friedreich Ataxia. National Library of Medicine. https://www.ncbi.nlm.nih.gov/pmc/articles/PMC3674491/. June 29, 2012. Accessed March 23, 2023.</w:t>
      </w:r>
    </w:p>
    <w:p w14:paraId="2073E496" w14:textId="77777777" w:rsidR="007B240B" w:rsidRDefault="007B240B" w:rsidP="001E676B">
      <w:pPr>
        <w:pStyle w:val="ListParagraph"/>
        <w:numPr>
          <w:ilvl w:val="0"/>
          <w:numId w:val="9"/>
        </w:numPr>
        <w:spacing w:after="200" w:line="276" w:lineRule="auto"/>
        <w:rPr>
          <w:rFonts w:cs="Arial"/>
          <w:sz w:val="18"/>
          <w:szCs w:val="18"/>
          <w:shd w:val="clear" w:color="auto" w:fill="FFFFFF"/>
        </w:rPr>
      </w:pPr>
      <w:r w:rsidRPr="00280379">
        <w:rPr>
          <w:rFonts w:cs="Arial"/>
          <w:sz w:val="18"/>
          <w:szCs w:val="18"/>
          <w:shd w:val="clear" w:color="auto" w:fill="FFFFFF"/>
        </w:rPr>
        <w:t>Muscular Dystrophy Association. Friedreich’s Ataxia. https://www.mda.org/disease/friedreichs-ataxia?gclid=EAIaIQobChMI_-mFmqv1_QIVq8mUCR3j2gl5EAAYAyAAEgKDVfD_BwE&amp;gclsrc=aw.ds. Accessed March 23, 2023.</w:t>
      </w:r>
    </w:p>
    <w:p w14:paraId="19151EF8" w14:textId="77777777" w:rsidR="007B240B" w:rsidRDefault="007B240B" w:rsidP="001E676B">
      <w:pPr>
        <w:pStyle w:val="ListParagraph"/>
        <w:numPr>
          <w:ilvl w:val="0"/>
          <w:numId w:val="9"/>
        </w:numPr>
        <w:spacing w:after="200" w:line="276" w:lineRule="auto"/>
        <w:rPr>
          <w:rFonts w:cs="Arial"/>
          <w:sz w:val="18"/>
          <w:szCs w:val="18"/>
          <w:shd w:val="clear" w:color="auto" w:fill="FFFFFF"/>
        </w:rPr>
      </w:pPr>
      <w:r w:rsidRPr="00311BFA">
        <w:rPr>
          <w:rFonts w:cs="Arial"/>
          <w:sz w:val="18"/>
          <w:szCs w:val="18"/>
          <w:shd w:val="clear" w:color="auto" w:fill="FFFFFF"/>
        </w:rPr>
        <w:t>Rare Disease Advisor. Friedreich’s Ataxia.  https://www.rarediseaseadvisor.com/disease-info-pages/friedreich-ataxia-prognosis/. January 19, 2023. Accessed March 23, 2023.</w:t>
      </w:r>
    </w:p>
    <w:p w14:paraId="5A51C6B7" w14:textId="77777777" w:rsidR="007B240B" w:rsidRDefault="007B240B" w:rsidP="001E676B">
      <w:pPr>
        <w:pStyle w:val="ListParagraph"/>
        <w:numPr>
          <w:ilvl w:val="0"/>
          <w:numId w:val="9"/>
        </w:numPr>
        <w:spacing w:after="200" w:line="276" w:lineRule="auto"/>
        <w:rPr>
          <w:rFonts w:cs="Arial"/>
          <w:sz w:val="18"/>
          <w:szCs w:val="18"/>
          <w:shd w:val="clear" w:color="auto" w:fill="FFFFFF"/>
        </w:rPr>
      </w:pPr>
      <w:r w:rsidRPr="00BB50F2">
        <w:rPr>
          <w:rFonts w:cs="Arial"/>
          <w:sz w:val="18"/>
          <w:szCs w:val="18"/>
          <w:shd w:val="clear" w:color="auto" w:fill="FFFFFF"/>
        </w:rPr>
        <w:t>GlobeNewswire</w:t>
      </w:r>
      <w:r>
        <w:rPr>
          <w:rFonts w:cs="Arial"/>
          <w:sz w:val="18"/>
          <w:szCs w:val="18"/>
          <w:shd w:val="clear" w:color="auto" w:fill="FFFFFF"/>
        </w:rPr>
        <w:t xml:space="preserve">. </w:t>
      </w:r>
      <w:r w:rsidRPr="00BB50F2">
        <w:rPr>
          <w:rFonts w:cs="Arial"/>
          <w:sz w:val="18"/>
          <w:szCs w:val="18"/>
          <w:shd w:val="clear" w:color="auto" w:fill="FFFFFF"/>
        </w:rPr>
        <w:t>Reata Pharmaceuticals, Inc. Announces Positive Data From Part One of Moxie Trial of Omaveloxolone for Friedreich’s Ataxia</w:t>
      </w:r>
      <w:r>
        <w:rPr>
          <w:rFonts w:cs="Arial"/>
          <w:sz w:val="18"/>
          <w:szCs w:val="18"/>
          <w:shd w:val="clear" w:color="auto" w:fill="FFFFFF"/>
        </w:rPr>
        <w:t xml:space="preserve">. </w:t>
      </w:r>
      <w:r w:rsidRPr="00BB50F2">
        <w:rPr>
          <w:rFonts w:cs="Arial"/>
          <w:sz w:val="18"/>
          <w:szCs w:val="18"/>
          <w:shd w:val="clear" w:color="auto" w:fill="FFFFFF"/>
        </w:rPr>
        <w:t>https://www.globenewswire.com/news-release/2017/06/01/1005786/0/en/Reata-Pharmaceuticals-Inc-Announces-Positive-Data-From-Part-One-of-Moxie-Trial-of-Omaveloxolone-for-Friedreich-s-Ataxia.html</w:t>
      </w:r>
      <w:r>
        <w:rPr>
          <w:rFonts w:cs="Arial"/>
          <w:sz w:val="18"/>
          <w:szCs w:val="18"/>
          <w:shd w:val="clear" w:color="auto" w:fill="FFFFFF"/>
        </w:rPr>
        <w:t xml:space="preserve">. </w:t>
      </w:r>
      <w:r w:rsidRPr="00BB50F2">
        <w:rPr>
          <w:rFonts w:cs="Arial"/>
          <w:sz w:val="18"/>
          <w:szCs w:val="18"/>
          <w:shd w:val="clear" w:color="auto" w:fill="FFFFFF"/>
        </w:rPr>
        <w:t>June 1, 2017</w:t>
      </w:r>
      <w:r>
        <w:rPr>
          <w:rFonts w:cs="Arial"/>
          <w:sz w:val="18"/>
          <w:szCs w:val="18"/>
          <w:shd w:val="clear" w:color="auto" w:fill="FFFFFF"/>
        </w:rPr>
        <w:t>. Accessed March 28, 2023.</w:t>
      </w:r>
    </w:p>
    <w:p w14:paraId="0E414448" w14:textId="77777777" w:rsidR="007B240B" w:rsidRPr="008A6010" w:rsidRDefault="007B240B" w:rsidP="001E676B">
      <w:pPr>
        <w:pStyle w:val="ListParagraph"/>
        <w:numPr>
          <w:ilvl w:val="0"/>
          <w:numId w:val="9"/>
        </w:numPr>
        <w:spacing w:after="200" w:line="276" w:lineRule="auto"/>
        <w:rPr>
          <w:rFonts w:cs="Arial"/>
          <w:sz w:val="18"/>
          <w:szCs w:val="18"/>
          <w:shd w:val="clear" w:color="auto" w:fill="FFFFFF"/>
        </w:rPr>
      </w:pPr>
      <w:r>
        <w:rPr>
          <w:rFonts w:cs="Arial"/>
          <w:sz w:val="18"/>
          <w:szCs w:val="18"/>
          <w:shd w:val="clear" w:color="auto" w:fill="FFFFFF"/>
        </w:rPr>
        <w:t xml:space="preserve">Opal, Puneet and Zoghbi, Huda. </w:t>
      </w:r>
      <w:r w:rsidRPr="00280379">
        <w:rPr>
          <w:rFonts w:cs="Arial"/>
          <w:sz w:val="18"/>
          <w:szCs w:val="18"/>
          <w:shd w:val="clear" w:color="auto" w:fill="FFFFFF"/>
        </w:rPr>
        <w:t>Friedreich Ataxia</w:t>
      </w:r>
      <w:r>
        <w:rPr>
          <w:rFonts w:cs="Arial"/>
          <w:sz w:val="18"/>
          <w:szCs w:val="18"/>
          <w:shd w:val="clear" w:color="auto" w:fill="FFFFFF"/>
        </w:rPr>
        <w:t xml:space="preserve">. UpToDate. </w:t>
      </w:r>
      <w:r w:rsidRPr="008A6010">
        <w:rPr>
          <w:rFonts w:cs="Arial"/>
          <w:sz w:val="18"/>
          <w:szCs w:val="18"/>
          <w:shd w:val="clear" w:color="auto" w:fill="FFFFFF"/>
        </w:rPr>
        <w:t>https://www.uptodate.com/contents/friedreich-ataxia#H2</w:t>
      </w:r>
      <w:r>
        <w:rPr>
          <w:rFonts w:cs="Arial"/>
          <w:sz w:val="18"/>
          <w:szCs w:val="18"/>
          <w:shd w:val="clear" w:color="auto" w:fill="FFFFFF"/>
        </w:rPr>
        <w:t xml:space="preserve">. </w:t>
      </w:r>
      <w:r w:rsidRPr="008A6010">
        <w:rPr>
          <w:rFonts w:cs="Arial"/>
          <w:sz w:val="18"/>
          <w:szCs w:val="18"/>
          <w:shd w:val="clear" w:color="auto" w:fill="FFFFFF"/>
        </w:rPr>
        <w:t>Mar</w:t>
      </w:r>
      <w:r>
        <w:rPr>
          <w:rFonts w:cs="Arial"/>
          <w:sz w:val="18"/>
          <w:szCs w:val="18"/>
          <w:shd w:val="clear" w:color="auto" w:fill="FFFFFF"/>
        </w:rPr>
        <w:t>ch</w:t>
      </w:r>
      <w:r w:rsidRPr="008A6010">
        <w:rPr>
          <w:rFonts w:cs="Arial"/>
          <w:sz w:val="18"/>
          <w:szCs w:val="18"/>
          <w:shd w:val="clear" w:color="auto" w:fill="FFFFFF"/>
        </w:rPr>
        <w:t xml:space="preserve"> 21, 2023.</w:t>
      </w:r>
      <w:r>
        <w:rPr>
          <w:rFonts w:cs="Arial"/>
          <w:sz w:val="18"/>
          <w:szCs w:val="18"/>
          <w:shd w:val="clear" w:color="auto" w:fill="FFFFFF"/>
        </w:rPr>
        <w:t xml:space="preserve"> Accessed March 28, 2023.</w:t>
      </w:r>
    </w:p>
    <w:p w14:paraId="6ACF4181" w14:textId="5467AC38" w:rsidR="0015236A" w:rsidRPr="0008558C" w:rsidRDefault="0015236A" w:rsidP="007B240B">
      <w:pPr>
        <w:pStyle w:val="ListParagraph"/>
        <w:numPr>
          <w:ilvl w:val="0"/>
          <w:numId w:val="0"/>
        </w:numPr>
        <w:ind w:left="360"/>
      </w:pPr>
    </w:p>
    <w:sectPr w:rsidR="0015236A" w:rsidRPr="0008558C" w:rsidSect="00AB0B9F">
      <w:headerReference w:type="even"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7AE5" w14:textId="77777777" w:rsidR="00EB0721" w:rsidRPr="00C02553" w:rsidRDefault="00EB0721" w:rsidP="00AE77DB">
      <w:r w:rsidRPr="00C02553">
        <w:separator/>
      </w:r>
    </w:p>
  </w:endnote>
  <w:endnote w:type="continuationSeparator" w:id="0">
    <w:p w14:paraId="02BCE8ED" w14:textId="77777777" w:rsidR="00EB0721" w:rsidRPr="00C02553" w:rsidRDefault="00EB0721" w:rsidP="00AE77DB">
      <w:r w:rsidRPr="00C02553">
        <w:continuationSeparator/>
      </w:r>
    </w:p>
  </w:endnote>
  <w:endnote w:type="continuationNotice" w:id="1">
    <w:p w14:paraId="5A1D340F" w14:textId="77777777" w:rsidR="00EB0721" w:rsidRPr="00C02553" w:rsidRDefault="00EB0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6366" w14:textId="7A4CA91E" w:rsidR="00811A70" w:rsidRPr="00C02553" w:rsidRDefault="00811A70" w:rsidP="00811A70">
    <w:pPr>
      <w:rPr>
        <w:rFonts w:cs="Arial"/>
        <w:sz w:val="16"/>
        <w:szCs w:val="16"/>
      </w:rPr>
    </w:pPr>
    <w:r w:rsidRPr="00C02553">
      <w:rPr>
        <w:rFonts w:cs="Arial"/>
        <w:sz w:val="16"/>
        <w:szCs w:val="16"/>
      </w:rPr>
      <w:t>© 202</w:t>
    </w:r>
    <w:r w:rsidR="00D62D8B">
      <w:rPr>
        <w:rFonts w:cs="Arial"/>
        <w:sz w:val="16"/>
        <w:szCs w:val="16"/>
      </w:rPr>
      <w:t>5</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90CE926" w:rsidR="005058CB" w:rsidRPr="00C02553" w:rsidRDefault="005058CB" w:rsidP="005058CB">
    <w:pPr>
      <w:pStyle w:val="Footer"/>
      <w:tabs>
        <w:tab w:val="clear" w:pos="8640"/>
        <w:tab w:val="right" w:pos="9360"/>
      </w:tabs>
      <w:jc w:val="both"/>
      <w:rPr>
        <w:rFonts w:cs="Arial"/>
        <w:sz w:val="16"/>
        <w:szCs w:val="16"/>
      </w:rPr>
    </w:pPr>
  </w:p>
  <w:p w14:paraId="4BB04B71" w14:textId="02611A36" w:rsidR="005058CB" w:rsidRPr="00C02553" w:rsidRDefault="005058CB" w:rsidP="005058CB">
    <w:pPr>
      <w:jc w:val="both"/>
      <w:rPr>
        <w:rFonts w:cs="Arial"/>
        <w:sz w:val="16"/>
        <w:szCs w:val="16"/>
      </w:rPr>
    </w:pPr>
    <w:r w:rsidRPr="00C02553">
      <w:rPr>
        <w:rFonts w:cs="Arial"/>
        <w:sz w:val="16"/>
        <w:szCs w:val="16"/>
      </w:rPr>
      <w:t xml:space="preserve">© </w:t>
    </w:r>
    <w:r w:rsidR="00D62D8B" w:rsidRPr="00C02553">
      <w:rPr>
        <w:rFonts w:cs="Arial"/>
        <w:sz w:val="16"/>
        <w:szCs w:val="16"/>
      </w:rPr>
      <w:t>202</w:t>
    </w:r>
    <w:r w:rsidR="00D62D8B">
      <w:rPr>
        <w:rFonts w:cs="Arial"/>
        <w:sz w:val="16"/>
        <w:szCs w:val="16"/>
      </w:rPr>
      <w:t>5</w:t>
    </w:r>
    <w:r w:rsidR="00D62D8B" w:rsidRPr="00C02553">
      <w:rPr>
        <w:rFonts w:cs="Arial"/>
        <w:sz w:val="16"/>
        <w:szCs w:val="16"/>
      </w:rPr>
      <w:t xml:space="preserve"> </w:t>
    </w:r>
    <w:r w:rsidRPr="00C02553">
      <w:rPr>
        <w:rFonts w:cs="Arial"/>
        <w:sz w:val="16"/>
        <w:szCs w:val="16"/>
      </w:rPr>
      <w:t>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A7E1" w14:textId="77777777" w:rsidR="00EB0721" w:rsidRPr="00C02553" w:rsidRDefault="00EB0721" w:rsidP="00AE77DB">
      <w:r w:rsidRPr="00C02553">
        <w:separator/>
      </w:r>
    </w:p>
  </w:footnote>
  <w:footnote w:type="continuationSeparator" w:id="0">
    <w:p w14:paraId="1A6F361E" w14:textId="77777777" w:rsidR="00EB0721" w:rsidRPr="00C02553" w:rsidRDefault="00EB0721" w:rsidP="00AE77DB">
      <w:r w:rsidRPr="00C02553">
        <w:continuationSeparator/>
      </w:r>
    </w:p>
  </w:footnote>
  <w:footnote w:type="continuationNotice" w:id="1">
    <w:p w14:paraId="2679A794" w14:textId="77777777" w:rsidR="00EB0721" w:rsidRPr="00C02553" w:rsidRDefault="00EB0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8DCD7FF"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1E13C8E"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7D077B5B">
          <wp:simplePos x="0" y="0"/>
          <wp:positionH relativeFrom="margin">
            <wp:posOffset>3935730</wp:posOffset>
          </wp:positionH>
          <wp:positionV relativeFrom="topMargin">
            <wp:posOffset>97155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1E43F4"/>
    <w:multiLevelType w:val="hybridMultilevel"/>
    <w:tmpl w:val="27BE1464"/>
    <w:lvl w:ilvl="0" w:tplc="DA0C891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F0"/>
    <w:multiLevelType w:val="hybridMultilevel"/>
    <w:tmpl w:val="92DA336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A0F38"/>
    <w:multiLevelType w:val="hybridMultilevel"/>
    <w:tmpl w:val="272297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13988"/>
    <w:multiLevelType w:val="hybridMultilevel"/>
    <w:tmpl w:val="25DAA52C"/>
    <w:lvl w:ilvl="0" w:tplc="05C242F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85EB9"/>
    <w:multiLevelType w:val="hybridMultilevel"/>
    <w:tmpl w:val="42CA9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EB5E3C"/>
    <w:multiLevelType w:val="hybridMultilevel"/>
    <w:tmpl w:val="5A70EAC2"/>
    <w:lvl w:ilvl="0" w:tplc="DA0C89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A553FC"/>
    <w:multiLevelType w:val="hybridMultilevel"/>
    <w:tmpl w:val="600AC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195FA1"/>
    <w:multiLevelType w:val="hybridMultilevel"/>
    <w:tmpl w:val="29C6E244"/>
    <w:lvl w:ilvl="0" w:tplc="04090005">
      <w:start w:val="1"/>
      <w:numFmt w:val="bullet"/>
      <w:lvlText w:val=""/>
      <w:lvlJc w:val="left"/>
      <w:pPr>
        <w:ind w:left="1080" w:hanging="360"/>
      </w:pPr>
      <w:rPr>
        <w:rFonts w:ascii="Wingdings" w:hAnsi="Wingdings" w:hint="default"/>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0C1751D"/>
    <w:multiLevelType w:val="hybridMultilevel"/>
    <w:tmpl w:val="7390D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F17017"/>
    <w:multiLevelType w:val="hybridMultilevel"/>
    <w:tmpl w:val="C942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372F4F"/>
    <w:multiLevelType w:val="hybridMultilevel"/>
    <w:tmpl w:val="E034A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4718B5"/>
    <w:multiLevelType w:val="hybridMultilevel"/>
    <w:tmpl w:val="56C41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B11C74"/>
    <w:multiLevelType w:val="hybridMultilevel"/>
    <w:tmpl w:val="7256A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71C1C"/>
    <w:multiLevelType w:val="hybridMultilevel"/>
    <w:tmpl w:val="CCCC6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1832637"/>
    <w:multiLevelType w:val="hybridMultilevel"/>
    <w:tmpl w:val="978C6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FA6F3E"/>
    <w:multiLevelType w:val="hybridMultilevel"/>
    <w:tmpl w:val="274E4E56"/>
    <w:lvl w:ilvl="0" w:tplc="DA0C89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364C66"/>
    <w:multiLevelType w:val="hybridMultilevel"/>
    <w:tmpl w:val="581ED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683189"/>
    <w:multiLevelType w:val="hybridMultilevel"/>
    <w:tmpl w:val="0CC41D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0203D1C"/>
    <w:multiLevelType w:val="hybridMultilevel"/>
    <w:tmpl w:val="5DBA0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8F775BF"/>
    <w:multiLevelType w:val="hybridMultilevel"/>
    <w:tmpl w:val="DA58E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78613A"/>
    <w:multiLevelType w:val="hybridMultilevel"/>
    <w:tmpl w:val="CA5A7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6"/>
  </w:num>
  <w:num w:numId="3" w16cid:durableId="320159068">
    <w:abstractNumId w:val="10"/>
  </w:num>
  <w:num w:numId="4" w16cid:durableId="1769498754">
    <w:abstractNumId w:val="3"/>
  </w:num>
  <w:num w:numId="5" w16cid:durableId="1094596320">
    <w:abstractNumId w:val="20"/>
  </w:num>
  <w:num w:numId="6" w16cid:durableId="2110008555">
    <w:abstractNumId w:val="2"/>
  </w:num>
  <w:num w:numId="7" w16cid:durableId="489712751">
    <w:abstractNumId w:val="6"/>
  </w:num>
  <w:num w:numId="8" w16cid:durableId="1894998475">
    <w:abstractNumId w:val="1"/>
  </w:num>
  <w:num w:numId="9" w16cid:durableId="409161487">
    <w:abstractNumId w:val="21"/>
  </w:num>
  <w:num w:numId="10" w16cid:durableId="1356692046">
    <w:abstractNumId w:val="8"/>
  </w:num>
  <w:num w:numId="11" w16cid:durableId="973098192">
    <w:abstractNumId w:val="28"/>
  </w:num>
  <w:num w:numId="12" w16cid:durableId="1412584030">
    <w:abstractNumId w:val="25"/>
  </w:num>
  <w:num w:numId="13" w16cid:durableId="268775360">
    <w:abstractNumId w:val="22"/>
  </w:num>
  <w:num w:numId="14" w16cid:durableId="2136674564">
    <w:abstractNumId w:val="18"/>
  </w:num>
  <w:num w:numId="15" w16cid:durableId="1990480682">
    <w:abstractNumId w:val="11"/>
  </w:num>
  <w:num w:numId="16" w16cid:durableId="1166087652">
    <w:abstractNumId w:val="27"/>
  </w:num>
  <w:num w:numId="17" w16cid:durableId="975254285">
    <w:abstractNumId w:val="23"/>
  </w:num>
  <w:num w:numId="18" w16cid:durableId="1378241705">
    <w:abstractNumId w:val="7"/>
  </w:num>
  <w:num w:numId="19" w16cid:durableId="1107695578">
    <w:abstractNumId w:val="16"/>
  </w:num>
  <w:num w:numId="20" w16cid:durableId="1330524756">
    <w:abstractNumId w:val="4"/>
  </w:num>
  <w:num w:numId="21" w16cid:durableId="1253516159">
    <w:abstractNumId w:val="14"/>
  </w:num>
  <w:num w:numId="22" w16cid:durableId="1837189950">
    <w:abstractNumId w:val="17"/>
  </w:num>
  <w:num w:numId="23" w16cid:durableId="604387839">
    <w:abstractNumId w:val="15"/>
  </w:num>
  <w:num w:numId="24" w16cid:durableId="4553567">
    <w:abstractNumId w:val="19"/>
  </w:num>
  <w:num w:numId="25" w16cid:durableId="71709018">
    <w:abstractNumId w:val="12"/>
  </w:num>
  <w:num w:numId="26" w16cid:durableId="2130317247">
    <w:abstractNumId w:val="13"/>
  </w:num>
  <w:num w:numId="27" w16cid:durableId="1849444714">
    <w:abstractNumId w:val="5"/>
  </w:num>
  <w:num w:numId="28" w16cid:durableId="2069693429">
    <w:abstractNumId w:val="24"/>
  </w:num>
  <w:num w:numId="29" w16cid:durableId="105670674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07818"/>
    <w:rsid w:val="000110DF"/>
    <w:rsid w:val="00012EB2"/>
    <w:rsid w:val="000242FE"/>
    <w:rsid w:val="00025080"/>
    <w:rsid w:val="00025F41"/>
    <w:rsid w:val="000276D9"/>
    <w:rsid w:val="000307C9"/>
    <w:rsid w:val="00040AD3"/>
    <w:rsid w:val="000420BE"/>
    <w:rsid w:val="00043C1D"/>
    <w:rsid w:val="00045B24"/>
    <w:rsid w:val="00046406"/>
    <w:rsid w:val="00050FF0"/>
    <w:rsid w:val="00053807"/>
    <w:rsid w:val="00055691"/>
    <w:rsid w:val="000572E5"/>
    <w:rsid w:val="00061541"/>
    <w:rsid w:val="000628CC"/>
    <w:rsid w:val="00064162"/>
    <w:rsid w:val="00065617"/>
    <w:rsid w:val="00065C22"/>
    <w:rsid w:val="00074464"/>
    <w:rsid w:val="00075AF8"/>
    <w:rsid w:val="00076030"/>
    <w:rsid w:val="00082590"/>
    <w:rsid w:val="0008558C"/>
    <w:rsid w:val="0009097B"/>
    <w:rsid w:val="000913C3"/>
    <w:rsid w:val="000953B9"/>
    <w:rsid w:val="00096284"/>
    <w:rsid w:val="000A1B3B"/>
    <w:rsid w:val="000A413B"/>
    <w:rsid w:val="000A6279"/>
    <w:rsid w:val="000B0B77"/>
    <w:rsid w:val="000B496B"/>
    <w:rsid w:val="000C3940"/>
    <w:rsid w:val="000C5992"/>
    <w:rsid w:val="000C704C"/>
    <w:rsid w:val="000D28AF"/>
    <w:rsid w:val="000D4D6E"/>
    <w:rsid w:val="000D6DC1"/>
    <w:rsid w:val="000E1479"/>
    <w:rsid w:val="000E1FFE"/>
    <w:rsid w:val="000E231E"/>
    <w:rsid w:val="000E247D"/>
    <w:rsid w:val="000E6B14"/>
    <w:rsid w:val="000E70D8"/>
    <w:rsid w:val="000F23B5"/>
    <w:rsid w:val="001062F6"/>
    <w:rsid w:val="00112FC7"/>
    <w:rsid w:val="0012332C"/>
    <w:rsid w:val="00125F5F"/>
    <w:rsid w:val="00126951"/>
    <w:rsid w:val="00126B60"/>
    <w:rsid w:val="00127EF6"/>
    <w:rsid w:val="001310AD"/>
    <w:rsid w:val="001314A5"/>
    <w:rsid w:val="00132606"/>
    <w:rsid w:val="00132A0E"/>
    <w:rsid w:val="00132C7F"/>
    <w:rsid w:val="00134FC2"/>
    <w:rsid w:val="00144DBE"/>
    <w:rsid w:val="001500CD"/>
    <w:rsid w:val="00151159"/>
    <w:rsid w:val="0015236A"/>
    <w:rsid w:val="00152400"/>
    <w:rsid w:val="00152C8B"/>
    <w:rsid w:val="0015636A"/>
    <w:rsid w:val="00172053"/>
    <w:rsid w:val="00177A80"/>
    <w:rsid w:val="00181317"/>
    <w:rsid w:val="00181C55"/>
    <w:rsid w:val="001847EA"/>
    <w:rsid w:val="001A50CB"/>
    <w:rsid w:val="001A74B7"/>
    <w:rsid w:val="001B1132"/>
    <w:rsid w:val="001B2D47"/>
    <w:rsid w:val="001B4BC2"/>
    <w:rsid w:val="001C0250"/>
    <w:rsid w:val="001C6DA4"/>
    <w:rsid w:val="001C73B1"/>
    <w:rsid w:val="001D1E7D"/>
    <w:rsid w:val="001D2475"/>
    <w:rsid w:val="001D56C6"/>
    <w:rsid w:val="001D6567"/>
    <w:rsid w:val="001D6D62"/>
    <w:rsid w:val="001E2CCB"/>
    <w:rsid w:val="001E363E"/>
    <w:rsid w:val="001E4CBA"/>
    <w:rsid w:val="001E523C"/>
    <w:rsid w:val="001E56C6"/>
    <w:rsid w:val="001E61DF"/>
    <w:rsid w:val="001E676B"/>
    <w:rsid w:val="001F034E"/>
    <w:rsid w:val="001F0B7C"/>
    <w:rsid w:val="001F2B9F"/>
    <w:rsid w:val="001F5954"/>
    <w:rsid w:val="00201C28"/>
    <w:rsid w:val="00201E9D"/>
    <w:rsid w:val="00202DD3"/>
    <w:rsid w:val="00204EA1"/>
    <w:rsid w:val="00206E7D"/>
    <w:rsid w:val="00217E14"/>
    <w:rsid w:val="00217EFD"/>
    <w:rsid w:val="0022031B"/>
    <w:rsid w:val="00222134"/>
    <w:rsid w:val="0022233F"/>
    <w:rsid w:val="00225105"/>
    <w:rsid w:val="00226275"/>
    <w:rsid w:val="00234BE2"/>
    <w:rsid w:val="002375A5"/>
    <w:rsid w:val="00241EA5"/>
    <w:rsid w:val="002434FB"/>
    <w:rsid w:val="00246564"/>
    <w:rsid w:val="00246A3B"/>
    <w:rsid w:val="00251A77"/>
    <w:rsid w:val="00253C27"/>
    <w:rsid w:val="00254384"/>
    <w:rsid w:val="002548C8"/>
    <w:rsid w:val="00255404"/>
    <w:rsid w:val="0025594F"/>
    <w:rsid w:val="00270C5E"/>
    <w:rsid w:val="00273331"/>
    <w:rsid w:val="00290A03"/>
    <w:rsid w:val="0029159A"/>
    <w:rsid w:val="00291600"/>
    <w:rsid w:val="002A028E"/>
    <w:rsid w:val="002A02F4"/>
    <w:rsid w:val="002A10FE"/>
    <w:rsid w:val="002A2232"/>
    <w:rsid w:val="002A2605"/>
    <w:rsid w:val="002A4215"/>
    <w:rsid w:val="002B03D5"/>
    <w:rsid w:val="002C1B6A"/>
    <w:rsid w:val="002C2C41"/>
    <w:rsid w:val="002C4E97"/>
    <w:rsid w:val="002C62E7"/>
    <w:rsid w:val="002D36E8"/>
    <w:rsid w:val="002D4621"/>
    <w:rsid w:val="002E05E2"/>
    <w:rsid w:val="002E2DD6"/>
    <w:rsid w:val="002E3F28"/>
    <w:rsid w:val="002E4C1E"/>
    <w:rsid w:val="002E7D1E"/>
    <w:rsid w:val="002F0E52"/>
    <w:rsid w:val="002F2274"/>
    <w:rsid w:val="002F2405"/>
    <w:rsid w:val="002F2643"/>
    <w:rsid w:val="002F690F"/>
    <w:rsid w:val="0030301F"/>
    <w:rsid w:val="00303B21"/>
    <w:rsid w:val="003043FA"/>
    <w:rsid w:val="00307BE0"/>
    <w:rsid w:val="00313701"/>
    <w:rsid w:val="00314430"/>
    <w:rsid w:val="00315B38"/>
    <w:rsid w:val="00316188"/>
    <w:rsid w:val="003171AF"/>
    <w:rsid w:val="00317469"/>
    <w:rsid w:val="00317EB9"/>
    <w:rsid w:val="0032215C"/>
    <w:rsid w:val="0032616B"/>
    <w:rsid w:val="00326687"/>
    <w:rsid w:val="003275F9"/>
    <w:rsid w:val="00332DF3"/>
    <w:rsid w:val="003355AC"/>
    <w:rsid w:val="00340777"/>
    <w:rsid w:val="00343D6B"/>
    <w:rsid w:val="00347FB5"/>
    <w:rsid w:val="00355515"/>
    <w:rsid w:val="003608B5"/>
    <w:rsid w:val="003613AF"/>
    <w:rsid w:val="003809CD"/>
    <w:rsid w:val="003878C1"/>
    <w:rsid w:val="00396C0B"/>
    <w:rsid w:val="003A43A6"/>
    <w:rsid w:val="003A630F"/>
    <w:rsid w:val="003B066D"/>
    <w:rsid w:val="003B1CAD"/>
    <w:rsid w:val="003B2E31"/>
    <w:rsid w:val="003B3958"/>
    <w:rsid w:val="003B4820"/>
    <w:rsid w:val="003B5F4B"/>
    <w:rsid w:val="003B682F"/>
    <w:rsid w:val="003C4ADB"/>
    <w:rsid w:val="003C4BF8"/>
    <w:rsid w:val="003C53FC"/>
    <w:rsid w:val="003C5B2B"/>
    <w:rsid w:val="003C7013"/>
    <w:rsid w:val="003D40AE"/>
    <w:rsid w:val="003D58E1"/>
    <w:rsid w:val="003D641B"/>
    <w:rsid w:val="003E4679"/>
    <w:rsid w:val="003E7EBE"/>
    <w:rsid w:val="003F227C"/>
    <w:rsid w:val="003F7AB9"/>
    <w:rsid w:val="004023CC"/>
    <w:rsid w:val="00407564"/>
    <w:rsid w:val="00411152"/>
    <w:rsid w:val="004134D1"/>
    <w:rsid w:val="004156AA"/>
    <w:rsid w:val="00423F68"/>
    <w:rsid w:val="004253A1"/>
    <w:rsid w:val="004313B6"/>
    <w:rsid w:val="00433339"/>
    <w:rsid w:val="004341DE"/>
    <w:rsid w:val="00441968"/>
    <w:rsid w:val="00446BBC"/>
    <w:rsid w:val="00446EB8"/>
    <w:rsid w:val="004472C0"/>
    <w:rsid w:val="00450705"/>
    <w:rsid w:val="00451928"/>
    <w:rsid w:val="004539A8"/>
    <w:rsid w:val="004567DE"/>
    <w:rsid w:val="0046618B"/>
    <w:rsid w:val="00472F3D"/>
    <w:rsid w:val="00475711"/>
    <w:rsid w:val="00475D88"/>
    <w:rsid w:val="00481A1F"/>
    <w:rsid w:val="004829D4"/>
    <w:rsid w:val="004852D2"/>
    <w:rsid w:val="00485F70"/>
    <w:rsid w:val="0048608C"/>
    <w:rsid w:val="00487D94"/>
    <w:rsid w:val="00496E57"/>
    <w:rsid w:val="004A14B8"/>
    <w:rsid w:val="004A1D86"/>
    <w:rsid w:val="004A341A"/>
    <w:rsid w:val="004A6648"/>
    <w:rsid w:val="004B0366"/>
    <w:rsid w:val="004B15DE"/>
    <w:rsid w:val="004B3E10"/>
    <w:rsid w:val="004C0F5D"/>
    <w:rsid w:val="004C375A"/>
    <w:rsid w:val="004C4954"/>
    <w:rsid w:val="004C5767"/>
    <w:rsid w:val="004D163F"/>
    <w:rsid w:val="004D5322"/>
    <w:rsid w:val="004D78B0"/>
    <w:rsid w:val="004D7DD1"/>
    <w:rsid w:val="004E442F"/>
    <w:rsid w:val="004E611F"/>
    <w:rsid w:val="004F13C2"/>
    <w:rsid w:val="004F2A34"/>
    <w:rsid w:val="004F2A79"/>
    <w:rsid w:val="004F4824"/>
    <w:rsid w:val="004F4D37"/>
    <w:rsid w:val="004F7521"/>
    <w:rsid w:val="00501702"/>
    <w:rsid w:val="00501A14"/>
    <w:rsid w:val="00501DE3"/>
    <w:rsid w:val="00502319"/>
    <w:rsid w:val="005058CB"/>
    <w:rsid w:val="00507DA1"/>
    <w:rsid w:val="0051040D"/>
    <w:rsid w:val="0051044D"/>
    <w:rsid w:val="005139E4"/>
    <w:rsid w:val="00515075"/>
    <w:rsid w:val="00520FE9"/>
    <w:rsid w:val="005233E7"/>
    <w:rsid w:val="005328B2"/>
    <w:rsid w:val="00535BD5"/>
    <w:rsid w:val="00540977"/>
    <w:rsid w:val="00541100"/>
    <w:rsid w:val="00543271"/>
    <w:rsid w:val="005445DB"/>
    <w:rsid w:val="00550A68"/>
    <w:rsid w:val="00551668"/>
    <w:rsid w:val="005572D5"/>
    <w:rsid w:val="00561AF7"/>
    <w:rsid w:val="00566BE4"/>
    <w:rsid w:val="005704B3"/>
    <w:rsid w:val="0057097D"/>
    <w:rsid w:val="00570D21"/>
    <w:rsid w:val="00573A2F"/>
    <w:rsid w:val="0057404B"/>
    <w:rsid w:val="00574F3C"/>
    <w:rsid w:val="00575D2C"/>
    <w:rsid w:val="00576113"/>
    <w:rsid w:val="00590652"/>
    <w:rsid w:val="0059235F"/>
    <w:rsid w:val="00596936"/>
    <w:rsid w:val="005A2F1E"/>
    <w:rsid w:val="005A4232"/>
    <w:rsid w:val="005A6579"/>
    <w:rsid w:val="005A769A"/>
    <w:rsid w:val="005C3616"/>
    <w:rsid w:val="005D36B2"/>
    <w:rsid w:val="005D4789"/>
    <w:rsid w:val="005D52E7"/>
    <w:rsid w:val="005D6F5D"/>
    <w:rsid w:val="005D78B5"/>
    <w:rsid w:val="005E10EC"/>
    <w:rsid w:val="005E27F2"/>
    <w:rsid w:val="005E3572"/>
    <w:rsid w:val="005E45E4"/>
    <w:rsid w:val="005E5B0B"/>
    <w:rsid w:val="005F0A81"/>
    <w:rsid w:val="005F0FCF"/>
    <w:rsid w:val="005F1494"/>
    <w:rsid w:val="005F44D8"/>
    <w:rsid w:val="0060042F"/>
    <w:rsid w:val="006008BC"/>
    <w:rsid w:val="00602CFD"/>
    <w:rsid w:val="00603C43"/>
    <w:rsid w:val="00604568"/>
    <w:rsid w:val="00606B55"/>
    <w:rsid w:val="00612A7B"/>
    <w:rsid w:val="00613801"/>
    <w:rsid w:val="00616787"/>
    <w:rsid w:val="00616E5E"/>
    <w:rsid w:val="006173A4"/>
    <w:rsid w:val="006203E4"/>
    <w:rsid w:val="006205AD"/>
    <w:rsid w:val="006247B9"/>
    <w:rsid w:val="00625C3A"/>
    <w:rsid w:val="00635763"/>
    <w:rsid w:val="00635DDB"/>
    <w:rsid w:val="006374F3"/>
    <w:rsid w:val="0064149A"/>
    <w:rsid w:val="006428E2"/>
    <w:rsid w:val="00646DFE"/>
    <w:rsid w:val="00650530"/>
    <w:rsid w:val="00650C96"/>
    <w:rsid w:val="00653788"/>
    <w:rsid w:val="0065477F"/>
    <w:rsid w:val="00656896"/>
    <w:rsid w:val="00661656"/>
    <w:rsid w:val="00670106"/>
    <w:rsid w:val="00674486"/>
    <w:rsid w:val="00677C65"/>
    <w:rsid w:val="00681A71"/>
    <w:rsid w:val="006826ED"/>
    <w:rsid w:val="0068761D"/>
    <w:rsid w:val="00691450"/>
    <w:rsid w:val="00693152"/>
    <w:rsid w:val="00694FAE"/>
    <w:rsid w:val="00695B09"/>
    <w:rsid w:val="006961C6"/>
    <w:rsid w:val="00696E3A"/>
    <w:rsid w:val="006A0834"/>
    <w:rsid w:val="006A4BBD"/>
    <w:rsid w:val="006A52F1"/>
    <w:rsid w:val="006B561D"/>
    <w:rsid w:val="006B6D5D"/>
    <w:rsid w:val="006C1731"/>
    <w:rsid w:val="006C5656"/>
    <w:rsid w:val="006D2330"/>
    <w:rsid w:val="006D3416"/>
    <w:rsid w:val="006D5BCC"/>
    <w:rsid w:val="006D7463"/>
    <w:rsid w:val="006D7CA6"/>
    <w:rsid w:val="006E0F8B"/>
    <w:rsid w:val="006E12F7"/>
    <w:rsid w:val="006E2731"/>
    <w:rsid w:val="006E591A"/>
    <w:rsid w:val="006E5AA1"/>
    <w:rsid w:val="006F326E"/>
    <w:rsid w:val="006F54E3"/>
    <w:rsid w:val="006F7F44"/>
    <w:rsid w:val="007068A4"/>
    <w:rsid w:val="00706D67"/>
    <w:rsid w:val="00713052"/>
    <w:rsid w:val="00717F73"/>
    <w:rsid w:val="00721367"/>
    <w:rsid w:val="007231FA"/>
    <w:rsid w:val="0072648F"/>
    <w:rsid w:val="00726B3D"/>
    <w:rsid w:val="00732C67"/>
    <w:rsid w:val="00733869"/>
    <w:rsid w:val="00734418"/>
    <w:rsid w:val="0075186D"/>
    <w:rsid w:val="00757826"/>
    <w:rsid w:val="007632B7"/>
    <w:rsid w:val="0076333F"/>
    <w:rsid w:val="0076382F"/>
    <w:rsid w:val="00764718"/>
    <w:rsid w:val="007649C9"/>
    <w:rsid w:val="00765768"/>
    <w:rsid w:val="00765D10"/>
    <w:rsid w:val="00766AC8"/>
    <w:rsid w:val="00767486"/>
    <w:rsid w:val="0077070E"/>
    <w:rsid w:val="0077296A"/>
    <w:rsid w:val="00773894"/>
    <w:rsid w:val="00777829"/>
    <w:rsid w:val="00777CA4"/>
    <w:rsid w:val="00780009"/>
    <w:rsid w:val="00784755"/>
    <w:rsid w:val="0079145E"/>
    <w:rsid w:val="00792DF0"/>
    <w:rsid w:val="0079438F"/>
    <w:rsid w:val="007A3034"/>
    <w:rsid w:val="007A527E"/>
    <w:rsid w:val="007A53E7"/>
    <w:rsid w:val="007A6668"/>
    <w:rsid w:val="007A78F7"/>
    <w:rsid w:val="007B240B"/>
    <w:rsid w:val="007B2BB8"/>
    <w:rsid w:val="007B3333"/>
    <w:rsid w:val="007B337D"/>
    <w:rsid w:val="007B379F"/>
    <w:rsid w:val="007B37D6"/>
    <w:rsid w:val="007B5D30"/>
    <w:rsid w:val="007B5FC1"/>
    <w:rsid w:val="007C6F73"/>
    <w:rsid w:val="007C7DB3"/>
    <w:rsid w:val="007D2920"/>
    <w:rsid w:val="007D361D"/>
    <w:rsid w:val="007D42DD"/>
    <w:rsid w:val="007D522F"/>
    <w:rsid w:val="007E19DE"/>
    <w:rsid w:val="007E6A37"/>
    <w:rsid w:val="007E76DC"/>
    <w:rsid w:val="007F1774"/>
    <w:rsid w:val="008029F8"/>
    <w:rsid w:val="00811A70"/>
    <w:rsid w:val="0081406E"/>
    <w:rsid w:val="008157C7"/>
    <w:rsid w:val="0081618A"/>
    <w:rsid w:val="00821232"/>
    <w:rsid w:val="00821293"/>
    <w:rsid w:val="00826013"/>
    <w:rsid w:val="00832211"/>
    <w:rsid w:val="008325F4"/>
    <w:rsid w:val="00832AC8"/>
    <w:rsid w:val="008367FB"/>
    <w:rsid w:val="00846FA4"/>
    <w:rsid w:val="00851ACE"/>
    <w:rsid w:val="008524BA"/>
    <w:rsid w:val="00852B74"/>
    <w:rsid w:val="008536F9"/>
    <w:rsid w:val="00856928"/>
    <w:rsid w:val="00857D88"/>
    <w:rsid w:val="008602A3"/>
    <w:rsid w:val="008606C2"/>
    <w:rsid w:val="00860D94"/>
    <w:rsid w:val="00865538"/>
    <w:rsid w:val="00870875"/>
    <w:rsid w:val="0088225C"/>
    <w:rsid w:val="00884026"/>
    <w:rsid w:val="00884C78"/>
    <w:rsid w:val="008859E1"/>
    <w:rsid w:val="0088761A"/>
    <w:rsid w:val="00891270"/>
    <w:rsid w:val="00896264"/>
    <w:rsid w:val="0089774E"/>
    <w:rsid w:val="008A0C29"/>
    <w:rsid w:val="008A5D88"/>
    <w:rsid w:val="008B2851"/>
    <w:rsid w:val="008C000E"/>
    <w:rsid w:val="008C00F5"/>
    <w:rsid w:val="008D0F2F"/>
    <w:rsid w:val="008D237F"/>
    <w:rsid w:val="008D31F4"/>
    <w:rsid w:val="008D3FD8"/>
    <w:rsid w:val="008D6B05"/>
    <w:rsid w:val="008E4595"/>
    <w:rsid w:val="008E7D2D"/>
    <w:rsid w:val="008E7D6E"/>
    <w:rsid w:val="008F21F5"/>
    <w:rsid w:val="008F44C0"/>
    <w:rsid w:val="008F5999"/>
    <w:rsid w:val="00903AD6"/>
    <w:rsid w:val="00904D7A"/>
    <w:rsid w:val="00907900"/>
    <w:rsid w:val="00915332"/>
    <w:rsid w:val="009204BB"/>
    <w:rsid w:val="009218B8"/>
    <w:rsid w:val="00924CC9"/>
    <w:rsid w:val="00925B83"/>
    <w:rsid w:val="00931775"/>
    <w:rsid w:val="0093282C"/>
    <w:rsid w:val="00932E2D"/>
    <w:rsid w:val="00935918"/>
    <w:rsid w:val="00935EC3"/>
    <w:rsid w:val="00950ED4"/>
    <w:rsid w:val="00951097"/>
    <w:rsid w:val="00953C1E"/>
    <w:rsid w:val="009557F2"/>
    <w:rsid w:val="0096210F"/>
    <w:rsid w:val="00962633"/>
    <w:rsid w:val="00963187"/>
    <w:rsid w:val="00963ACF"/>
    <w:rsid w:val="00963D1C"/>
    <w:rsid w:val="00963EA1"/>
    <w:rsid w:val="00964284"/>
    <w:rsid w:val="00966301"/>
    <w:rsid w:val="0097028A"/>
    <w:rsid w:val="0097299B"/>
    <w:rsid w:val="00973BD6"/>
    <w:rsid w:val="00981487"/>
    <w:rsid w:val="00981E8D"/>
    <w:rsid w:val="00984549"/>
    <w:rsid w:val="00985D28"/>
    <w:rsid w:val="00990A3B"/>
    <w:rsid w:val="00991BF0"/>
    <w:rsid w:val="009A07D8"/>
    <w:rsid w:val="009A0F50"/>
    <w:rsid w:val="009A0FB1"/>
    <w:rsid w:val="009A1FAC"/>
    <w:rsid w:val="009A2EE8"/>
    <w:rsid w:val="009A39DD"/>
    <w:rsid w:val="009A6C65"/>
    <w:rsid w:val="009B001A"/>
    <w:rsid w:val="009B1A62"/>
    <w:rsid w:val="009B3196"/>
    <w:rsid w:val="009B53CD"/>
    <w:rsid w:val="009C3CC7"/>
    <w:rsid w:val="009D087E"/>
    <w:rsid w:val="009D1D4A"/>
    <w:rsid w:val="009D2057"/>
    <w:rsid w:val="009D3D6C"/>
    <w:rsid w:val="009D5551"/>
    <w:rsid w:val="009D62DB"/>
    <w:rsid w:val="009E1243"/>
    <w:rsid w:val="009E3B42"/>
    <w:rsid w:val="009F220D"/>
    <w:rsid w:val="009F315B"/>
    <w:rsid w:val="009F5BE0"/>
    <w:rsid w:val="00A05B60"/>
    <w:rsid w:val="00A13266"/>
    <w:rsid w:val="00A14592"/>
    <w:rsid w:val="00A14FA6"/>
    <w:rsid w:val="00A15D64"/>
    <w:rsid w:val="00A20575"/>
    <w:rsid w:val="00A25414"/>
    <w:rsid w:val="00A32452"/>
    <w:rsid w:val="00A32BBF"/>
    <w:rsid w:val="00A37444"/>
    <w:rsid w:val="00A4281A"/>
    <w:rsid w:val="00A459CF"/>
    <w:rsid w:val="00A45E4B"/>
    <w:rsid w:val="00A5014D"/>
    <w:rsid w:val="00A50E46"/>
    <w:rsid w:val="00A53E96"/>
    <w:rsid w:val="00A56F18"/>
    <w:rsid w:val="00A61DBD"/>
    <w:rsid w:val="00A628F8"/>
    <w:rsid w:val="00A62BAA"/>
    <w:rsid w:val="00A66172"/>
    <w:rsid w:val="00A72595"/>
    <w:rsid w:val="00A73BDF"/>
    <w:rsid w:val="00A744C3"/>
    <w:rsid w:val="00A82B52"/>
    <w:rsid w:val="00AA18CA"/>
    <w:rsid w:val="00AA70AB"/>
    <w:rsid w:val="00AB0997"/>
    <w:rsid w:val="00AB0B9F"/>
    <w:rsid w:val="00AB1713"/>
    <w:rsid w:val="00AB184C"/>
    <w:rsid w:val="00AB2728"/>
    <w:rsid w:val="00AB63BE"/>
    <w:rsid w:val="00AC1EBC"/>
    <w:rsid w:val="00AC2599"/>
    <w:rsid w:val="00AC2DE9"/>
    <w:rsid w:val="00AC2FCF"/>
    <w:rsid w:val="00AC38B4"/>
    <w:rsid w:val="00AD2C5F"/>
    <w:rsid w:val="00AD512D"/>
    <w:rsid w:val="00AE1481"/>
    <w:rsid w:val="00AE27F9"/>
    <w:rsid w:val="00AE4810"/>
    <w:rsid w:val="00AE7567"/>
    <w:rsid w:val="00AE77DB"/>
    <w:rsid w:val="00AF0891"/>
    <w:rsid w:val="00AF205D"/>
    <w:rsid w:val="00AF464F"/>
    <w:rsid w:val="00AF7453"/>
    <w:rsid w:val="00AF75E0"/>
    <w:rsid w:val="00AF7A63"/>
    <w:rsid w:val="00B008F8"/>
    <w:rsid w:val="00B00FFF"/>
    <w:rsid w:val="00B01824"/>
    <w:rsid w:val="00B03CEF"/>
    <w:rsid w:val="00B06084"/>
    <w:rsid w:val="00B10D47"/>
    <w:rsid w:val="00B11843"/>
    <w:rsid w:val="00B16735"/>
    <w:rsid w:val="00B17EDE"/>
    <w:rsid w:val="00B22585"/>
    <w:rsid w:val="00B31238"/>
    <w:rsid w:val="00B33693"/>
    <w:rsid w:val="00B34C53"/>
    <w:rsid w:val="00B44FAD"/>
    <w:rsid w:val="00B46466"/>
    <w:rsid w:val="00B46E54"/>
    <w:rsid w:val="00B507A5"/>
    <w:rsid w:val="00B52475"/>
    <w:rsid w:val="00B52867"/>
    <w:rsid w:val="00B535DA"/>
    <w:rsid w:val="00B56DCC"/>
    <w:rsid w:val="00B56F54"/>
    <w:rsid w:val="00B638C2"/>
    <w:rsid w:val="00B65558"/>
    <w:rsid w:val="00B745D7"/>
    <w:rsid w:val="00B758AB"/>
    <w:rsid w:val="00B76277"/>
    <w:rsid w:val="00B772AB"/>
    <w:rsid w:val="00B80395"/>
    <w:rsid w:val="00B80B56"/>
    <w:rsid w:val="00B83801"/>
    <w:rsid w:val="00B86372"/>
    <w:rsid w:val="00B97C3E"/>
    <w:rsid w:val="00BA1C17"/>
    <w:rsid w:val="00BA1D65"/>
    <w:rsid w:val="00BA5CC5"/>
    <w:rsid w:val="00BA75F6"/>
    <w:rsid w:val="00BB3B4D"/>
    <w:rsid w:val="00BB6482"/>
    <w:rsid w:val="00BC351E"/>
    <w:rsid w:val="00BC3F77"/>
    <w:rsid w:val="00BC46EE"/>
    <w:rsid w:val="00BC5635"/>
    <w:rsid w:val="00BC5675"/>
    <w:rsid w:val="00BD081C"/>
    <w:rsid w:val="00BD277B"/>
    <w:rsid w:val="00BD47CA"/>
    <w:rsid w:val="00BD62C7"/>
    <w:rsid w:val="00BE020D"/>
    <w:rsid w:val="00BE354A"/>
    <w:rsid w:val="00BE6011"/>
    <w:rsid w:val="00BE63F3"/>
    <w:rsid w:val="00BE721D"/>
    <w:rsid w:val="00BF1533"/>
    <w:rsid w:val="00BF5EEF"/>
    <w:rsid w:val="00C00A1C"/>
    <w:rsid w:val="00C02553"/>
    <w:rsid w:val="00C04EB6"/>
    <w:rsid w:val="00C056F9"/>
    <w:rsid w:val="00C1018C"/>
    <w:rsid w:val="00C10C74"/>
    <w:rsid w:val="00C1150E"/>
    <w:rsid w:val="00C14D52"/>
    <w:rsid w:val="00C2586C"/>
    <w:rsid w:val="00C26001"/>
    <w:rsid w:val="00C30594"/>
    <w:rsid w:val="00C32830"/>
    <w:rsid w:val="00C34E72"/>
    <w:rsid w:val="00C40EC8"/>
    <w:rsid w:val="00C4430E"/>
    <w:rsid w:val="00C473A2"/>
    <w:rsid w:val="00C50850"/>
    <w:rsid w:val="00C50B95"/>
    <w:rsid w:val="00C5415E"/>
    <w:rsid w:val="00C541C9"/>
    <w:rsid w:val="00C56B1F"/>
    <w:rsid w:val="00C61B52"/>
    <w:rsid w:val="00C61D3A"/>
    <w:rsid w:val="00C62745"/>
    <w:rsid w:val="00C654CA"/>
    <w:rsid w:val="00C669CB"/>
    <w:rsid w:val="00C675A9"/>
    <w:rsid w:val="00C72F1F"/>
    <w:rsid w:val="00C73FA0"/>
    <w:rsid w:val="00C75656"/>
    <w:rsid w:val="00C763BD"/>
    <w:rsid w:val="00C779A8"/>
    <w:rsid w:val="00C82E19"/>
    <w:rsid w:val="00C93816"/>
    <w:rsid w:val="00C96873"/>
    <w:rsid w:val="00C968DA"/>
    <w:rsid w:val="00CA1735"/>
    <w:rsid w:val="00CA3198"/>
    <w:rsid w:val="00CA3C4B"/>
    <w:rsid w:val="00CA657F"/>
    <w:rsid w:val="00CA7252"/>
    <w:rsid w:val="00CB2C5A"/>
    <w:rsid w:val="00CC02E5"/>
    <w:rsid w:val="00CE0C1C"/>
    <w:rsid w:val="00CE17A1"/>
    <w:rsid w:val="00CE34AF"/>
    <w:rsid w:val="00CE4651"/>
    <w:rsid w:val="00CF00A4"/>
    <w:rsid w:val="00CF25FB"/>
    <w:rsid w:val="00CF614C"/>
    <w:rsid w:val="00D015C6"/>
    <w:rsid w:val="00D02F34"/>
    <w:rsid w:val="00D13D87"/>
    <w:rsid w:val="00D16590"/>
    <w:rsid w:val="00D20720"/>
    <w:rsid w:val="00D250D9"/>
    <w:rsid w:val="00D27533"/>
    <w:rsid w:val="00D30337"/>
    <w:rsid w:val="00D30B47"/>
    <w:rsid w:val="00D30D11"/>
    <w:rsid w:val="00D31558"/>
    <w:rsid w:val="00D32607"/>
    <w:rsid w:val="00D40AF8"/>
    <w:rsid w:val="00D42DA3"/>
    <w:rsid w:val="00D4546D"/>
    <w:rsid w:val="00D47996"/>
    <w:rsid w:val="00D53030"/>
    <w:rsid w:val="00D61118"/>
    <w:rsid w:val="00D614F1"/>
    <w:rsid w:val="00D62D8B"/>
    <w:rsid w:val="00D67D5F"/>
    <w:rsid w:val="00D70D50"/>
    <w:rsid w:val="00D71917"/>
    <w:rsid w:val="00D76060"/>
    <w:rsid w:val="00D81268"/>
    <w:rsid w:val="00D8186A"/>
    <w:rsid w:val="00D8567C"/>
    <w:rsid w:val="00D91BE7"/>
    <w:rsid w:val="00D92013"/>
    <w:rsid w:val="00D95C67"/>
    <w:rsid w:val="00DA3A0F"/>
    <w:rsid w:val="00DA4E62"/>
    <w:rsid w:val="00DA6990"/>
    <w:rsid w:val="00DB010E"/>
    <w:rsid w:val="00DB22C4"/>
    <w:rsid w:val="00DB27BA"/>
    <w:rsid w:val="00DB337A"/>
    <w:rsid w:val="00DB7E22"/>
    <w:rsid w:val="00DC51CB"/>
    <w:rsid w:val="00DD4819"/>
    <w:rsid w:val="00DD4B8A"/>
    <w:rsid w:val="00DD5403"/>
    <w:rsid w:val="00DD6002"/>
    <w:rsid w:val="00DD714C"/>
    <w:rsid w:val="00DE1388"/>
    <w:rsid w:val="00DE1430"/>
    <w:rsid w:val="00DE1BC9"/>
    <w:rsid w:val="00DE7501"/>
    <w:rsid w:val="00DF3146"/>
    <w:rsid w:val="00DF57C3"/>
    <w:rsid w:val="00E008D9"/>
    <w:rsid w:val="00E02FE0"/>
    <w:rsid w:val="00E0365F"/>
    <w:rsid w:val="00E07ABE"/>
    <w:rsid w:val="00E10BEB"/>
    <w:rsid w:val="00E11A3F"/>
    <w:rsid w:val="00E1386E"/>
    <w:rsid w:val="00E2369B"/>
    <w:rsid w:val="00E237C9"/>
    <w:rsid w:val="00E23EC0"/>
    <w:rsid w:val="00E25FF2"/>
    <w:rsid w:val="00E33382"/>
    <w:rsid w:val="00E3397C"/>
    <w:rsid w:val="00E3518A"/>
    <w:rsid w:val="00E354AA"/>
    <w:rsid w:val="00E43D54"/>
    <w:rsid w:val="00E442FB"/>
    <w:rsid w:val="00E466B7"/>
    <w:rsid w:val="00E529DB"/>
    <w:rsid w:val="00E538D7"/>
    <w:rsid w:val="00E53A5E"/>
    <w:rsid w:val="00E55047"/>
    <w:rsid w:val="00E55C6B"/>
    <w:rsid w:val="00E63DC2"/>
    <w:rsid w:val="00E6466A"/>
    <w:rsid w:val="00E72221"/>
    <w:rsid w:val="00E74C93"/>
    <w:rsid w:val="00E8232F"/>
    <w:rsid w:val="00E83428"/>
    <w:rsid w:val="00E84C58"/>
    <w:rsid w:val="00E853F1"/>
    <w:rsid w:val="00E873A5"/>
    <w:rsid w:val="00E90755"/>
    <w:rsid w:val="00E90D11"/>
    <w:rsid w:val="00E915E5"/>
    <w:rsid w:val="00EA042C"/>
    <w:rsid w:val="00EA16D7"/>
    <w:rsid w:val="00EA3ABB"/>
    <w:rsid w:val="00EA48BD"/>
    <w:rsid w:val="00EB0367"/>
    <w:rsid w:val="00EB0721"/>
    <w:rsid w:val="00EB443D"/>
    <w:rsid w:val="00EB4FB9"/>
    <w:rsid w:val="00EB548F"/>
    <w:rsid w:val="00EB588F"/>
    <w:rsid w:val="00EB5BC8"/>
    <w:rsid w:val="00EB7134"/>
    <w:rsid w:val="00EB7F66"/>
    <w:rsid w:val="00EC24ED"/>
    <w:rsid w:val="00EC2738"/>
    <w:rsid w:val="00ED2C4E"/>
    <w:rsid w:val="00ED7B42"/>
    <w:rsid w:val="00EE210B"/>
    <w:rsid w:val="00EE3AC7"/>
    <w:rsid w:val="00EE3EA5"/>
    <w:rsid w:val="00EE4117"/>
    <w:rsid w:val="00EE613F"/>
    <w:rsid w:val="00EE6BD1"/>
    <w:rsid w:val="00EE7F2C"/>
    <w:rsid w:val="00EF0262"/>
    <w:rsid w:val="00EF0828"/>
    <w:rsid w:val="00EF16AB"/>
    <w:rsid w:val="00EF6A41"/>
    <w:rsid w:val="00EF6F8B"/>
    <w:rsid w:val="00F03898"/>
    <w:rsid w:val="00F0487D"/>
    <w:rsid w:val="00F0620E"/>
    <w:rsid w:val="00F101B8"/>
    <w:rsid w:val="00F1300F"/>
    <w:rsid w:val="00F14914"/>
    <w:rsid w:val="00F1502A"/>
    <w:rsid w:val="00F1527A"/>
    <w:rsid w:val="00F17BCF"/>
    <w:rsid w:val="00F2019E"/>
    <w:rsid w:val="00F25100"/>
    <w:rsid w:val="00F2696B"/>
    <w:rsid w:val="00F27821"/>
    <w:rsid w:val="00F33B3F"/>
    <w:rsid w:val="00F4092A"/>
    <w:rsid w:val="00F41F69"/>
    <w:rsid w:val="00F4348E"/>
    <w:rsid w:val="00F43E41"/>
    <w:rsid w:val="00F46C9D"/>
    <w:rsid w:val="00F4790C"/>
    <w:rsid w:val="00F50C4B"/>
    <w:rsid w:val="00F54C08"/>
    <w:rsid w:val="00F553A2"/>
    <w:rsid w:val="00F57CB4"/>
    <w:rsid w:val="00F6068C"/>
    <w:rsid w:val="00F62F33"/>
    <w:rsid w:val="00F63A52"/>
    <w:rsid w:val="00F67861"/>
    <w:rsid w:val="00F730BA"/>
    <w:rsid w:val="00F73D61"/>
    <w:rsid w:val="00F77BEF"/>
    <w:rsid w:val="00F8728D"/>
    <w:rsid w:val="00F903BE"/>
    <w:rsid w:val="00F9492C"/>
    <w:rsid w:val="00F94FF0"/>
    <w:rsid w:val="00F95D04"/>
    <w:rsid w:val="00F9666C"/>
    <w:rsid w:val="00FA16EC"/>
    <w:rsid w:val="00FA1DBC"/>
    <w:rsid w:val="00FA2811"/>
    <w:rsid w:val="00FA4837"/>
    <w:rsid w:val="00FA6B76"/>
    <w:rsid w:val="00FB1D33"/>
    <w:rsid w:val="00FB4A66"/>
    <w:rsid w:val="00FB5E96"/>
    <w:rsid w:val="00FC05A0"/>
    <w:rsid w:val="00FC0EE1"/>
    <w:rsid w:val="00FC1DA1"/>
    <w:rsid w:val="00FC6758"/>
    <w:rsid w:val="00FD09B4"/>
    <w:rsid w:val="00FD1190"/>
    <w:rsid w:val="00FD34EA"/>
    <w:rsid w:val="00FD4A37"/>
    <w:rsid w:val="00FD6362"/>
    <w:rsid w:val="00FE3F3E"/>
    <w:rsid w:val="00FE4D52"/>
    <w:rsid w:val="00FE5AEE"/>
    <w:rsid w:val="00FF106B"/>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E4"/>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5"/>
      </w:numPr>
      <w:contextualSpacing/>
    </w:pPr>
  </w:style>
  <w:style w:type="table" w:styleId="TableGrid">
    <w:name w:val="Table Grid"/>
    <w:basedOn w:val="TableNormal"/>
    <w:uiPriority w:val="5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3"/>
      </w:numPr>
    </w:pPr>
  </w:style>
  <w:style w:type="numbering" w:customStyle="1" w:styleId="ProposalCriteria">
    <w:name w:val="Proposal Criteria"/>
    <w:basedOn w:val="ListProposal"/>
    <w:uiPriority w:val="99"/>
    <w:rsid w:val="00D20720"/>
    <w:pPr>
      <w:numPr>
        <w:numId w:val="4"/>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6"/>
      </w:numPr>
      <w:contextualSpacing/>
    </w:pPr>
  </w:style>
  <w:style w:type="numbering" w:customStyle="1" w:styleId="ProposalCriteria2">
    <w:name w:val="Proposal Criteria 2"/>
    <w:basedOn w:val="ListProposal"/>
    <w:uiPriority w:val="99"/>
    <w:rsid w:val="0015636A"/>
    <w:pPr>
      <w:numPr>
        <w:numId w:val="7"/>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8"/>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3A43A6"/>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2E7D1E"/>
    <w:rPr>
      <w:sz w:val="16"/>
      <w:szCs w:val="16"/>
    </w:rPr>
  </w:style>
  <w:style w:type="paragraph" w:styleId="CommentSubject">
    <w:name w:val="annotation subject"/>
    <w:basedOn w:val="CommentText"/>
    <w:next w:val="CommentText"/>
    <w:link w:val="CommentSubjectChar"/>
    <w:uiPriority w:val="99"/>
    <w:semiHidden/>
    <w:unhideWhenUsed/>
    <w:rsid w:val="002E7D1E"/>
    <w:rPr>
      <w:b/>
      <w:bCs/>
    </w:rPr>
  </w:style>
  <w:style w:type="character" w:customStyle="1" w:styleId="CommentTextChar">
    <w:name w:val="Comment Text Char"/>
    <w:basedOn w:val="DefaultParagraphFont"/>
    <w:link w:val="CommentText"/>
    <w:semiHidden/>
    <w:rsid w:val="002E7D1E"/>
    <w:rPr>
      <w:rFonts w:ascii="Arial" w:hAnsi="Arial"/>
    </w:rPr>
  </w:style>
  <w:style w:type="character" w:customStyle="1" w:styleId="CommentSubjectChar">
    <w:name w:val="Comment Subject Char"/>
    <w:basedOn w:val="CommentTextChar"/>
    <w:link w:val="CommentSubject"/>
    <w:uiPriority w:val="99"/>
    <w:semiHidden/>
    <w:rsid w:val="002E7D1E"/>
    <w:rPr>
      <w:rFonts w:ascii="Arial" w:hAnsi="Arial"/>
      <w:b/>
      <w:bCs/>
    </w:rPr>
  </w:style>
  <w:style w:type="paragraph" w:customStyle="1" w:styleId="Style2">
    <w:name w:val="Style2"/>
    <w:basedOn w:val="Heading1"/>
    <w:link w:val="Style2Char"/>
    <w:qFormat/>
    <w:rsid w:val="00BC46EE"/>
    <w:pPr>
      <w:spacing w:before="120" w:after="120" w:line="240" w:lineRule="auto"/>
      <w:jc w:val="left"/>
    </w:pPr>
    <w:rPr>
      <w:color w:val="002060"/>
      <w:sz w:val="32"/>
      <w:szCs w:val="32"/>
      <w:lang w:val="en-US"/>
    </w:rPr>
  </w:style>
  <w:style w:type="character" w:customStyle="1" w:styleId="Style2Char">
    <w:name w:val="Style2 Char"/>
    <w:basedOn w:val="Heading1Char"/>
    <w:link w:val="Style2"/>
    <w:rsid w:val="00BC46EE"/>
    <w:rPr>
      <w:rFonts w:ascii="Arial" w:hAnsi="Arial" w:cs="Arial"/>
      <w:b/>
      <w:color w:val="002060"/>
      <w:sz w:val="32"/>
      <w:szCs w:val="32"/>
      <w:lang w:val="it-IT"/>
    </w:rPr>
  </w:style>
  <w:style w:type="paragraph" w:styleId="Revision">
    <w:name w:val="Revision"/>
    <w:hidden/>
    <w:uiPriority w:val="99"/>
    <w:semiHidden/>
    <w:rsid w:val="0004640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2BD84731D449F8DADE085CAE02149"/>
        <w:category>
          <w:name w:val="General"/>
          <w:gallery w:val="placeholder"/>
        </w:category>
        <w:types>
          <w:type w:val="bbPlcHdr"/>
        </w:types>
        <w:behaviors>
          <w:behavior w:val="content"/>
        </w:behaviors>
        <w:guid w:val="{240B13ED-FAAB-4C95-B290-D113F536CD59}"/>
      </w:docPartPr>
      <w:docPartBody>
        <w:p w:rsidR="00505B83" w:rsidRDefault="00B74D29" w:rsidP="00B74D29">
          <w:pPr>
            <w:pStyle w:val="7842BD84731D449F8DADE085CAE02149"/>
          </w:pPr>
          <w:r w:rsidRPr="00860D4D">
            <w:rPr>
              <w:b/>
              <w:color w:val="7F7F7F" w:themeColor="text1" w:themeTint="80"/>
              <w:sz w:val="20"/>
              <w:szCs w:val="20"/>
            </w:rPr>
            <w:t>Brand</w:t>
          </w:r>
        </w:p>
      </w:docPartBody>
    </w:docPart>
    <w:docPart>
      <w:docPartPr>
        <w:name w:val="C9FBE300ABC444859FF3E1B93F7C963B"/>
        <w:category>
          <w:name w:val="General"/>
          <w:gallery w:val="placeholder"/>
        </w:category>
        <w:types>
          <w:type w:val="bbPlcHdr"/>
        </w:types>
        <w:behaviors>
          <w:behavior w:val="content"/>
        </w:behaviors>
        <w:guid w:val="{C6695252-255A-42F4-9F8D-F9FD53F78126}"/>
      </w:docPartPr>
      <w:docPartBody>
        <w:p w:rsidR="00505B83" w:rsidRDefault="00B74D29" w:rsidP="00B74D29">
          <w:pPr>
            <w:pStyle w:val="C9FBE300ABC444859FF3E1B93F7C963B"/>
          </w:pPr>
          <w:r w:rsidRPr="00DF56E3">
            <w:rPr>
              <w:rStyle w:val="PlaceholderText"/>
              <w:rFonts w:eastAsiaTheme="minorHAnsi"/>
              <w:sz w:val="20"/>
            </w:rPr>
            <w:t>® or ™</w:t>
          </w:r>
        </w:p>
      </w:docPartBody>
    </w:docPart>
    <w:docPart>
      <w:docPartPr>
        <w:name w:val="DAA0482ACA724332BE8D6B16D47F5D7B"/>
        <w:category>
          <w:name w:val="General"/>
          <w:gallery w:val="placeholder"/>
        </w:category>
        <w:types>
          <w:type w:val="bbPlcHdr"/>
        </w:types>
        <w:behaviors>
          <w:behavior w:val="content"/>
        </w:behaviors>
        <w:guid w:val="{85AB6F87-0071-470B-B4AC-6AF3AEE05144}"/>
      </w:docPartPr>
      <w:docPartBody>
        <w:p w:rsidR="00505B83" w:rsidRDefault="00B74D29" w:rsidP="00B74D29">
          <w:pPr>
            <w:pStyle w:val="DAA0482ACA724332BE8D6B16D47F5D7B"/>
          </w:pPr>
          <w:r w:rsidRPr="00860D4D">
            <w:rPr>
              <w:b/>
              <w:color w:val="7F7F7F" w:themeColor="text1" w:themeTint="80"/>
              <w:sz w:val="20"/>
              <w:szCs w:val="20"/>
            </w:rPr>
            <w:t>generic</w:t>
          </w:r>
        </w:p>
      </w:docPartBody>
    </w:docPart>
    <w:docPart>
      <w:docPartPr>
        <w:name w:val="BDE1D3E61C6A43CAA4B83094FB7116D2"/>
        <w:category>
          <w:name w:val="General"/>
          <w:gallery w:val="placeholder"/>
        </w:category>
        <w:types>
          <w:type w:val="bbPlcHdr"/>
        </w:types>
        <w:behaviors>
          <w:behavior w:val="content"/>
        </w:behaviors>
        <w:guid w:val="{6D6CA351-16F0-4E39-9B19-96A28A6D080D}"/>
      </w:docPartPr>
      <w:docPartBody>
        <w:p w:rsidR="00505B83" w:rsidRDefault="00B74D29" w:rsidP="00B74D29">
          <w:pPr>
            <w:pStyle w:val="BDE1D3E61C6A43CAA4B83094FB7116D2"/>
          </w:pPr>
          <w:r w:rsidRPr="00860D4D">
            <w:rPr>
              <w:b/>
              <w:color w:val="7F7F7F" w:themeColor="text1" w:themeTint="80"/>
              <w:sz w:val="20"/>
              <w:szCs w:val="20"/>
            </w:rPr>
            <w:t>Manufacturer</w:t>
          </w:r>
          <w:r>
            <w:rPr>
              <w:b/>
              <w:color w:val="7F7F7F" w:themeColor="text1" w:themeTint="80"/>
              <w:sz w:val="20"/>
              <w:szCs w:val="20"/>
            </w:rPr>
            <w:t xml:space="preserve"> </w:t>
          </w:r>
          <w:r w:rsidRPr="00860D4D">
            <w:rPr>
              <w:b/>
              <w:color w:val="7F7F7F" w:themeColor="text1" w:themeTint="80"/>
              <w:sz w:val="20"/>
              <w:szCs w:val="20"/>
            </w:rPr>
            <w:t>** only R or TM on first mention of the drug and not throughout</w:t>
          </w:r>
        </w:p>
      </w:docPartBody>
    </w:docPart>
    <w:docPart>
      <w:docPartPr>
        <w:name w:val="1C6CBB4DF695470FB741B917148D438D"/>
        <w:category>
          <w:name w:val="General"/>
          <w:gallery w:val="placeholder"/>
        </w:category>
        <w:types>
          <w:type w:val="bbPlcHdr"/>
        </w:types>
        <w:behaviors>
          <w:behavior w:val="content"/>
        </w:behaviors>
        <w:guid w:val="{57935946-20B1-4114-93EA-7DEFA0C037E8}"/>
      </w:docPartPr>
      <w:docPartBody>
        <w:p w:rsidR="00505B83" w:rsidRDefault="00B74D29" w:rsidP="00B74D29">
          <w:pPr>
            <w:pStyle w:val="1C6CBB4DF695470FB741B917148D438D"/>
          </w:pPr>
          <w:r w:rsidRPr="00790B4B">
            <w:rPr>
              <w:rFonts w:eastAsia="Arial"/>
              <w:sz w:val="20"/>
              <w:szCs w:val="20"/>
            </w:rPr>
            <w:t>Please include information geared to SmartPA or SmartFusion in this section of PA Criteria</w:t>
          </w:r>
          <w:r w:rsidRPr="00790B4B">
            <w:rPr>
              <w:rStyle w:val="PlaceholderText"/>
              <w:rFonts w:eastAsia="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A6F3E"/>
    <w:multiLevelType w:val="hybridMultilevel"/>
    <w:tmpl w:val="0562CA04"/>
    <w:lvl w:ilvl="0" w:tplc="DA0C891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9B4273"/>
    <w:multiLevelType w:val="hybridMultilevel"/>
    <w:tmpl w:val="56CEABF6"/>
    <w:lvl w:ilvl="0" w:tplc="13AE4B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585201">
    <w:abstractNumId w:val="0"/>
  </w:num>
  <w:num w:numId="2" w16cid:durableId="183575353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57"/>
    <w:rsid w:val="000110DF"/>
    <w:rsid w:val="000420BE"/>
    <w:rsid w:val="00075AF8"/>
    <w:rsid w:val="000A1B3B"/>
    <w:rsid w:val="00157A57"/>
    <w:rsid w:val="002F2643"/>
    <w:rsid w:val="003738C1"/>
    <w:rsid w:val="0038443E"/>
    <w:rsid w:val="00505B83"/>
    <w:rsid w:val="00543ADF"/>
    <w:rsid w:val="005E27F2"/>
    <w:rsid w:val="00603C43"/>
    <w:rsid w:val="0072648F"/>
    <w:rsid w:val="007F1A0F"/>
    <w:rsid w:val="00807CC2"/>
    <w:rsid w:val="008732B8"/>
    <w:rsid w:val="008A08E4"/>
    <w:rsid w:val="008D3FD8"/>
    <w:rsid w:val="00957A84"/>
    <w:rsid w:val="00A01993"/>
    <w:rsid w:val="00AE4810"/>
    <w:rsid w:val="00B37F30"/>
    <w:rsid w:val="00B74D29"/>
    <w:rsid w:val="00BF153B"/>
    <w:rsid w:val="00D30337"/>
    <w:rsid w:val="00DC1B98"/>
    <w:rsid w:val="00E468A1"/>
    <w:rsid w:val="00E61FFB"/>
    <w:rsid w:val="00E74C93"/>
    <w:rsid w:val="00EB588F"/>
    <w:rsid w:val="00EE3AC7"/>
    <w:rsid w:val="00EE7F2C"/>
    <w:rsid w:val="00F1502A"/>
    <w:rsid w:val="00F46C9D"/>
    <w:rsid w:val="00F47E4E"/>
    <w:rsid w:val="00F77BEF"/>
    <w:rsid w:val="00FC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D29"/>
    <w:rPr>
      <w:color w:val="808080"/>
    </w:rPr>
  </w:style>
  <w:style w:type="paragraph" w:customStyle="1" w:styleId="7842BD84731D449F8DADE085CAE02149">
    <w:name w:val="7842BD84731D449F8DADE085CAE02149"/>
    <w:rsid w:val="00B74D29"/>
  </w:style>
  <w:style w:type="paragraph" w:customStyle="1" w:styleId="C9FBE300ABC444859FF3E1B93F7C963B">
    <w:name w:val="C9FBE300ABC444859FF3E1B93F7C963B"/>
    <w:rsid w:val="00B74D29"/>
  </w:style>
  <w:style w:type="paragraph" w:customStyle="1" w:styleId="DAA0482ACA724332BE8D6B16D47F5D7B">
    <w:name w:val="DAA0482ACA724332BE8D6B16D47F5D7B"/>
    <w:rsid w:val="00B74D29"/>
  </w:style>
  <w:style w:type="paragraph" w:customStyle="1" w:styleId="BDE1D3E61C6A43CAA4B83094FB7116D2">
    <w:name w:val="BDE1D3E61C6A43CAA4B83094FB7116D2"/>
    <w:rsid w:val="00B74D29"/>
  </w:style>
  <w:style w:type="paragraph" w:styleId="NoSpacing">
    <w:name w:val="No Spacing"/>
    <w:uiPriority w:val="1"/>
    <w:qFormat/>
    <w:rsid w:val="00B74D29"/>
    <w:pPr>
      <w:spacing w:after="0" w:line="240" w:lineRule="auto"/>
    </w:pPr>
    <w:rPr>
      <w:rFonts w:ascii="Arial" w:eastAsia="Times New Roman" w:hAnsi="Arial" w:cs="Arial"/>
      <w:kern w:val="0"/>
      <w14:ligatures w14:val="none"/>
    </w:rPr>
  </w:style>
  <w:style w:type="paragraph" w:customStyle="1" w:styleId="1C6CBB4DF695470FB741B917148D438D">
    <w:name w:val="1C6CBB4DF695470FB741B917148D438D"/>
    <w:rsid w:val="00B74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A444EDCB-F77E-4FEE-81EA-64240BED55FE}"/>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office/2006/documentManagement/types"/>
    <ds:schemaRef ds:uri="1e4a61f8-8acd-406c-9ffc-156367cd3fec"/>
    <ds:schemaRef ds:uri="http://purl.org/dc/terms/"/>
    <ds:schemaRef ds:uri="http://purl.org/dc/elements/1.1/"/>
    <ds:schemaRef ds:uri="http://purl.org/dc/dcmitype/"/>
    <ds:schemaRef ds:uri="http://schemas.openxmlformats.org/package/2006/metadata/core-properties"/>
    <ds:schemaRef ds:uri="54a97082-99d0-4cd5-8c93-88769c19209d"/>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3231</Words>
  <Characters>18966</Characters>
  <Application>Microsoft Office Word</Application>
  <DocSecurity>0</DocSecurity>
  <Lines>421</Lines>
  <Paragraphs>280</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21917</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Skyclarys NDFB Update_2025_Final</dc:title>
  <dc:creator>DMS</dc:creator>
  <cp:lastModifiedBy>Dolan, John</cp:lastModifiedBy>
  <cp:revision>5</cp:revision>
  <cp:lastPrinted>2018-10-31T20:17:00Z</cp:lastPrinted>
  <dcterms:created xsi:type="dcterms:W3CDTF">2025-12-19T15:49:00Z</dcterms:created>
  <dcterms:modified xsi:type="dcterms:W3CDTF">2025-12-19T15:53:00Z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